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F8A5" w14:textId="77777777" w:rsidR="000F4286" w:rsidRPr="006D4AB3" w:rsidRDefault="006617F0" w:rsidP="009D2D77">
      <w:pPr>
        <w:spacing w:line="360" w:lineRule="auto"/>
        <w:ind w:left="-142"/>
        <w:rPr>
          <w:rFonts w:ascii="Calibri" w:hAnsi="Calibri"/>
          <w:b/>
          <w:sz w:val="26"/>
          <w:szCs w:val="26"/>
        </w:rPr>
      </w:pPr>
      <w:r w:rsidRPr="006D4AB3">
        <w:rPr>
          <w:rFonts w:ascii="Calibri" w:hAnsi="Calibri"/>
          <w:b/>
          <w:sz w:val="26"/>
          <w:szCs w:val="26"/>
        </w:rPr>
        <w:t xml:space="preserve">Nourish Scotland, Report to </w:t>
      </w:r>
      <w:r w:rsidR="000F4286" w:rsidRPr="006D4AB3">
        <w:rPr>
          <w:rFonts w:ascii="Calibri" w:hAnsi="Calibri"/>
          <w:b/>
          <w:sz w:val="26"/>
          <w:szCs w:val="26"/>
        </w:rPr>
        <w:t xml:space="preserve">UN Committee on </w:t>
      </w:r>
      <w:r w:rsidRPr="006D4AB3">
        <w:rPr>
          <w:rFonts w:ascii="Calibri" w:hAnsi="Calibri"/>
          <w:b/>
          <w:sz w:val="26"/>
          <w:szCs w:val="26"/>
        </w:rPr>
        <w:t xml:space="preserve">Economic, Social </w:t>
      </w:r>
      <w:r w:rsidR="009D2D77" w:rsidRPr="006D4AB3">
        <w:rPr>
          <w:rFonts w:ascii="Calibri" w:hAnsi="Calibri"/>
          <w:b/>
          <w:sz w:val="26"/>
          <w:szCs w:val="26"/>
        </w:rPr>
        <w:t>&amp;</w:t>
      </w:r>
      <w:r w:rsidRPr="006D4AB3">
        <w:rPr>
          <w:rFonts w:ascii="Calibri" w:hAnsi="Calibri"/>
          <w:b/>
          <w:sz w:val="26"/>
          <w:szCs w:val="26"/>
        </w:rPr>
        <w:t xml:space="preserve"> Cultural Rights</w:t>
      </w:r>
      <w:r w:rsidR="00896782" w:rsidRPr="006D4AB3">
        <w:rPr>
          <w:rFonts w:ascii="Calibri" w:hAnsi="Calibri"/>
          <w:b/>
          <w:i/>
          <w:sz w:val="26"/>
          <w:szCs w:val="26"/>
        </w:rPr>
        <w:br/>
      </w:r>
      <w:r w:rsidR="00896782" w:rsidRPr="006D4AB3">
        <w:rPr>
          <w:rFonts w:ascii="Calibri" w:hAnsi="Calibri"/>
          <w:b/>
          <w:sz w:val="26"/>
          <w:szCs w:val="26"/>
        </w:rPr>
        <w:t xml:space="preserve">- </w:t>
      </w:r>
      <w:r w:rsidR="001643DE" w:rsidRPr="006D4AB3">
        <w:rPr>
          <w:rFonts w:ascii="Calibri" w:hAnsi="Calibri"/>
          <w:b/>
          <w:sz w:val="26"/>
          <w:szCs w:val="26"/>
        </w:rPr>
        <w:t>O</w:t>
      </w:r>
      <w:r w:rsidRPr="006D4AB3">
        <w:rPr>
          <w:rFonts w:ascii="Calibri" w:hAnsi="Calibri"/>
          <w:b/>
          <w:sz w:val="26"/>
          <w:szCs w:val="26"/>
        </w:rPr>
        <w:t>n the Right to Food</w:t>
      </w:r>
      <w:r w:rsidR="000F4286" w:rsidRPr="006D4AB3">
        <w:rPr>
          <w:rFonts w:ascii="Calibri" w:hAnsi="Calibri"/>
          <w:b/>
          <w:sz w:val="26"/>
          <w:szCs w:val="26"/>
        </w:rPr>
        <w:tab/>
      </w:r>
      <w:r w:rsidR="00896782" w:rsidRPr="006D4AB3">
        <w:rPr>
          <w:rFonts w:ascii="Calibri" w:hAnsi="Calibri"/>
          <w:b/>
          <w:sz w:val="26"/>
          <w:szCs w:val="26"/>
        </w:rPr>
        <w:tab/>
        <w:t xml:space="preserve">     </w:t>
      </w:r>
      <w:r w:rsidR="006D4AB3">
        <w:rPr>
          <w:rFonts w:ascii="Calibri" w:hAnsi="Calibri"/>
          <w:b/>
          <w:sz w:val="26"/>
          <w:szCs w:val="26"/>
        </w:rPr>
        <w:t xml:space="preserve">    </w:t>
      </w:r>
      <w:r w:rsidR="00896782" w:rsidRPr="006D4AB3">
        <w:rPr>
          <w:rFonts w:ascii="Calibri" w:hAnsi="Calibri"/>
          <w:b/>
          <w:sz w:val="26"/>
          <w:szCs w:val="26"/>
        </w:rPr>
        <w:t xml:space="preserve">   </w:t>
      </w:r>
      <w:r w:rsidR="00FD237F" w:rsidRPr="006D4AB3">
        <w:rPr>
          <w:rFonts w:ascii="Calibri" w:hAnsi="Calibri"/>
          <w:b/>
          <w:sz w:val="26"/>
          <w:szCs w:val="26"/>
        </w:rPr>
        <w:tab/>
      </w:r>
      <w:r w:rsidR="006D4AB3">
        <w:rPr>
          <w:rFonts w:ascii="Calibri" w:hAnsi="Calibri"/>
          <w:b/>
          <w:sz w:val="26"/>
          <w:szCs w:val="26"/>
        </w:rPr>
        <w:t xml:space="preserve">    </w:t>
      </w:r>
      <w:r w:rsidR="000F4286" w:rsidRPr="006D4AB3">
        <w:rPr>
          <w:rFonts w:ascii="Calibri" w:hAnsi="Calibri"/>
          <w:sz w:val="26"/>
          <w:szCs w:val="26"/>
        </w:rPr>
        <w:t>(</w:t>
      </w:r>
      <w:r w:rsidRPr="006D4AB3">
        <w:rPr>
          <w:rFonts w:ascii="Calibri" w:hAnsi="Calibri"/>
          <w:sz w:val="26"/>
          <w:szCs w:val="26"/>
        </w:rPr>
        <w:t>58</w:t>
      </w:r>
      <w:r w:rsidR="00896782" w:rsidRPr="006D4AB3">
        <w:rPr>
          <w:rFonts w:ascii="Calibri" w:hAnsi="Calibri"/>
          <w:sz w:val="26"/>
          <w:szCs w:val="26"/>
        </w:rPr>
        <w:t>th</w:t>
      </w:r>
      <w:r w:rsidRPr="006D4AB3">
        <w:rPr>
          <w:rFonts w:ascii="Calibri" w:hAnsi="Calibri"/>
          <w:sz w:val="26"/>
          <w:szCs w:val="26"/>
        </w:rPr>
        <w:t xml:space="preserve"> Session, UK 6</w:t>
      </w:r>
      <w:r w:rsidR="00896782" w:rsidRPr="006D4AB3">
        <w:rPr>
          <w:rFonts w:ascii="Calibri" w:hAnsi="Calibri"/>
          <w:sz w:val="26"/>
          <w:szCs w:val="26"/>
        </w:rPr>
        <w:t>th</w:t>
      </w:r>
      <w:r w:rsidRPr="006D4AB3">
        <w:rPr>
          <w:rFonts w:ascii="Calibri" w:hAnsi="Calibri"/>
          <w:sz w:val="26"/>
          <w:szCs w:val="26"/>
        </w:rPr>
        <w:t xml:space="preserve"> Period Review - </w:t>
      </w:r>
      <w:r w:rsidR="000F4286" w:rsidRPr="006D4AB3">
        <w:rPr>
          <w:rFonts w:ascii="Calibri" w:hAnsi="Calibri"/>
          <w:sz w:val="26"/>
          <w:szCs w:val="26"/>
        </w:rPr>
        <w:t>Full Session)</w:t>
      </w:r>
      <w:r w:rsidRPr="006D4AB3">
        <w:rPr>
          <w:rFonts w:ascii="Calibri" w:hAnsi="Calibri"/>
          <w:b/>
          <w:sz w:val="26"/>
          <w:szCs w:val="26"/>
        </w:rPr>
        <w:tab/>
      </w:r>
      <w:r w:rsidRPr="006D4AB3">
        <w:rPr>
          <w:rFonts w:ascii="Calibri" w:hAnsi="Calibri"/>
          <w:b/>
          <w:sz w:val="26"/>
          <w:szCs w:val="26"/>
        </w:rPr>
        <w:tab/>
      </w:r>
      <w:r w:rsidRPr="006D4AB3">
        <w:rPr>
          <w:rFonts w:ascii="Calibri" w:hAnsi="Calibri"/>
          <w:b/>
          <w:sz w:val="26"/>
          <w:szCs w:val="26"/>
        </w:rPr>
        <w:tab/>
      </w:r>
      <w:r w:rsidRPr="006D4AB3">
        <w:rPr>
          <w:rFonts w:ascii="Calibri" w:hAnsi="Calibri"/>
          <w:b/>
          <w:sz w:val="26"/>
          <w:szCs w:val="26"/>
        </w:rPr>
        <w:tab/>
      </w:r>
      <w:r w:rsidRPr="006D4AB3">
        <w:rPr>
          <w:rFonts w:ascii="Calibri" w:hAnsi="Calibri"/>
          <w:b/>
          <w:sz w:val="26"/>
          <w:szCs w:val="26"/>
        </w:rPr>
        <w:tab/>
      </w:r>
      <w:r w:rsidR="000F4286" w:rsidRPr="006D4AB3">
        <w:rPr>
          <w:rFonts w:ascii="Calibri" w:hAnsi="Calibri"/>
          <w:b/>
          <w:sz w:val="26"/>
          <w:szCs w:val="26"/>
        </w:rPr>
        <w:tab/>
      </w:r>
      <w:r w:rsidR="000F4286" w:rsidRPr="006D4AB3">
        <w:rPr>
          <w:rFonts w:ascii="Calibri" w:hAnsi="Calibri"/>
          <w:b/>
          <w:sz w:val="26"/>
          <w:szCs w:val="26"/>
        </w:rPr>
        <w:tab/>
      </w:r>
      <w:r w:rsidRPr="006D4AB3">
        <w:rPr>
          <w:rFonts w:ascii="Calibri" w:hAnsi="Calibri"/>
          <w:b/>
          <w:sz w:val="26"/>
          <w:szCs w:val="26"/>
        </w:rPr>
        <w:tab/>
      </w:r>
      <w:r w:rsidR="009D2D77" w:rsidRPr="006D4AB3">
        <w:rPr>
          <w:rFonts w:ascii="Calibri" w:hAnsi="Calibri"/>
          <w:b/>
          <w:sz w:val="26"/>
          <w:szCs w:val="26"/>
        </w:rPr>
        <w:tab/>
      </w:r>
      <w:r w:rsidR="00896782" w:rsidRPr="006D4AB3">
        <w:rPr>
          <w:rFonts w:ascii="Calibri" w:hAnsi="Calibri"/>
          <w:b/>
          <w:sz w:val="26"/>
          <w:szCs w:val="26"/>
        </w:rPr>
        <w:tab/>
      </w:r>
      <w:r w:rsidR="00896782" w:rsidRPr="006D4AB3">
        <w:rPr>
          <w:rFonts w:ascii="Calibri" w:hAnsi="Calibri"/>
          <w:b/>
          <w:sz w:val="26"/>
          <w:szCs w:val="26"/>
        </w:rPr>
        <w:tab/>
        <w:t xml:space="preserve">        </w:t>
      </w:r>
      <w:r w:rsidR="00896782" w:rsidRPr="006D4AB3">
        <w:rPr>
          <w:rFonts w:ascii="Calibri" w:hAnsi="Calibri"/>
          <w:b/>
          <w:sz w:val="26"/>
          <w:szCs w:val="26"/>
        </w:rPr>
        <w:tab/>
        <w:t xml:space="preserve">    </w:t>
      </w:r>
      <w:r w:rsidR="006D4AB3">
        <w:rPr>
          <w:rFonts w:ascii="Calibri" w:hAnsi="Calibri"/>
          <w:b/>
          <w:sz w:val="26"/>
          <w:szCs w:val="26"/>
        </w:rPr>
        <w:tab/>
      </w:r>
      <w:r w:rsidR="006D4AB3">
        <w:rPr>
          <w:rFonts w:ascii="Calibri" w:hAnsi="Calibri"/>
          <w:b/>
          <w:sz w:val="26"/>
          <w:szCs w:val="26"/>
        </w:rPr>
        <w:tab/>
      </w:r>
      <w:r w:rsidR="009D2D77" w:rsidRPr="006D4AB3">
        <w:rPr>
          <w:rFonts w:ascii="Calibri" w:hAnsi="Calibri"/>
          <w:b/>
          <w:sz w:val="26"/>
          <w:szCs w:val="26"/>
        </w:rPr>
        <w:t>May</w:t>
      </w:r>
      <w:r w:rsidR="00896782" w:rsidRPr="006D4AB3">
        <w:rPr>
          <w:rFonts w:ascii="Calibri" w:hAnsi="Calibri"/>
          <w:b/>
          <w:sz w:val="26"/>
          <w:szCs w:val="26"/>
        </w:rPr>
        <w:t>, 2016</w:t>
      </w:r>
    </w:p>
    <w:p w14:paraId="3D33B380" w14:textId="77777777" w:rsidR="002B67F4" w:rsidRPr="006D4AB3" w:rsidRDefault="002B67F4" w:rsidP="00AC316F">
      <w:pPr>
        <w:rPr>
          <w:rFonts w:ascii="Calibri" w:hAnsi="Calibri"/>
        </w:rPr>
      </w:pPr>
      <w:r w:rsidRPr="006D4AB3">
        <w:rPr>
          <w:rFonts w:ascii="Calibri" w:hAnsi="Calibri"/>
        </w:rPr>
        <w:t xml:space="preserve">Responding to the Committee’s List of Issues, this report reviews the obligations of the UK Government, and the Scottish Government where the matter concerned is devolved, under Article 11 of ICESCR, specifically in relation to the right to food. </w:t>
      </w:r>
    </w:p>
    <w:p w14:paraId="0379FC03" w14:textId="77777777" w:rsidR="00896782" w:rsidRPr="006D4AB3" w:rsidRDefault="002B67F4" w:rsidP="00AC316F">
      <w:pPr>
        <w:rPr>
          <w:rFonts w:ascii="Calibri" w:hAnsi="Calibri"/>
          <w:b/>
          <w:sz w:val="24"/>
        </w:rPr>
      </w:pPr>
      <w:r w:rsidRPr="006D4AB3">
        <w:rPr>
          <w:rFonts w:ascii="Calibri" w:hAnsi="Calibri"/>
        </w:rPr>
        <w:t>Nourish Scotland is a Non-Governmental Organisation working on a local, national, and international level for a fairer, healthier, and more sustainable food system.</w:t>
      </w:r>
    </w:p>
    <w:p w14:paraId="79C5AFA4" w14:textId="77777777" w:rsidR="002B67F4" w:rsidRPr="006D4AB3" w:rsidRDefault="002B67F4" w:rsidP="00AC316F">
      <w:pPr>
        <w:rPr>
          <w:rFonts w:ascii="Calibri" w:hAnsi="Calibri"/>
          <w:b/>
          <w:sz w:val="24"/>
        </w:rPr>
      </w:pPr>
    </w:p>
    <w:p w14:paraId="2FF01B65" w14:textId="0967124F" w:rsidR="00AC316F" w:rsidRPr="006D4AB3" w:rsidRDefault="00455C05" w:rsidP="00AC316F">
      <w:pPr>
        <w:rPr>
          <w:rFonts w:ascii="Calibri" w:hAnsi="Calibri"/>
          <w:sz w:val="24"/>
        </w:rPr>
      </w:pPr>
      <w:r w:rsidRPr="006D4AB3">
        <w:rPr>
          <w:rFonts w:ascii="Calibri" w:hAnsi="Calibri"/>
          <w:b/>
          <w:sz w:val="24"/>
        </w:rPr>
        <w:t>Part 1:</w:t>
      </w:r>
      <w:r w:rsidR="003F47E6" w:rsidRPr="006D4AB3">
        <w:rPr>
          <w:rFonts w:ascii="Calibri" w:hAnsi="Calibri"/>
          <w:sz w:val="24"/>
        </w:rPr>
        <w:tab/>
        <w:t>I</w:t>
      </w:r>
      <w:r w:rsidR="00FB57E4" w:rsidRPr="006D4AB3">
        <w:rPr>
          <w:rFonts w:ascii="Calibri" w:hAnsi="Calibri"/>
          <w:sz w:val="24"/>
        </w:rPr>
        <w:t>ntroduction</w:t>
      </w:r>
      <w:r w:rsidR="00B81802" w:rsidRPr="006D4AB3">
        <w:rPr>
          <w:rFonts w:ascii="Calibri" w:hAnsi="Calibri"/>
          <w:sz w:val="24"/>
        </w:rPr>
        <w:t xml:space="preserve"> and</w:t>
      </w:r>
      <w:r w:rsidR="003F47E6" w:rsidRPr="006D4AB3">
        <w:rPr>
          <w:rFonts w:ascii="Calibri" w:hAnsi="Calibri"/>
          <w:sz w:val="24"/>
        </w:rPr>
        <w:t xml:space="preserve"> an</w:t>
      </w:r>
      <w:r w:rsidR="00B81802" w:rsidRPr="006D4AB3">
        <w:rPr>
          <w:rFonts w:ascii="Calibri" w:hAnsi="Calibri"/>
          <w:sz w:val="24"/>
        </w:rPr>
        <w:t xml:space="preserve"> update on</w:t>
      </w:r>
      <w:r w:rsidR="00FB57E4" w:rsidRPr="006D4AB3">
        <w:rPr>
          <w:rFonts w:ascii="Calibri" w:hAnsi="Calibri"/>
          <w:sz w:val="24"/>
        </w:rPr>
        <w:t xml:space="preserve"> initial concerns raised </w:t>
      </w:r>
      <w:r w:rsidR="00B81802" w:rsidRPr="006D4AB3">
        <w:rPr>
          <w:rFonts w:ascii="Calibri" w:hAnsi="Calibri"/>
          <w:sz w:val="24"/>
        </w:rPr>
        <w:t>at</w:t>
      </w:r>
      <w:r w:rsidR="00FB57E4" w:rsidRPr="006D4AB3">
        <w:rPr>
          <w:rFonts w:ascii="Calibri" w:hAnsi="Calibri"/>
          <w:sz w:val="24"/>
        </w:rPr>
        <w:t xml:space="preserve"> the PSWG (Aug 2015)</w:t>
      </w:r>
      <w:proofErr w:type="gramStart"/>
      <w:r w:rsidR="000F4286" w:rsidRPr="006D4AB3">
        <w:rPr>
          <w:rFonts w:ascii="Calibri" w:hAnsi="Calibri"/>
          <w:sz w:val="24"/>
        </w:rPr>
        <w:t>;</w:t>
      </w:r>
      <w:proofErr w:type="gramEnd"/>
      <w:r w:rsidR="00422CDB">
        <w:rPr>
          <w:rFonts w:ascii="Calibri" w:hAnsi="Calibri"/>
          <w:sz w:val="24"/>
        </w:rPr>
        <w:tab/>
      </w:r>
      <w:r w:rsidR="00422CDB" w:rsidRPr="00422CDB">
        <w:rPr>
          <w:rFonts w:ascii="Calibri" w:hAnsi="Calibri"/>
          <w:b/>
          <w:sz w:val="24"/>
        </w:rPr>
        <w:t>[1]</w:t>
      </w:r>
    </w:p>
    <w:p w14:paraId="2957AC10" w14:textId="77777777" w:rsidR="002B67F4" w:rsidRPr="006D4AB3" w:rsidRDefault="00AC316F" w:rsidP="002B67F4">
      <w:pPr>
        <w:ind w:left="1440"/>
        <w:rPr>
          <w:rFonts w:ascii="Calibri" w:hAnsi="Calibri"/>
          <w:sz w:val="24"/>
        </w:rPr>
      </w:pPr>
      <w:r w:rsidRPr="006D4AB3">
        <w:rPr>
          <w:rFonts w:ascii="Calibri" w:hAnsi="Calibri"/>
        </w:rPr>
        <w:t xml:space="preserve">1) </w:t>
      </w:r>
      <w:proofErr w:type="gramStart"/>
      <w:r w:rsidR="000F4286" w:rsidRPr="006D4AB3">
        <w:rPr>
          <w:rFonts w:ascii="Calibri" w:hAnsi="Calibri"/>
        </w:rPr>
        <w:t>i</w:t>
      </w:r>
      <w:r w:rsidRPr="006D4AB3">
        <w:rPr>
          <w:rFonts w:ascii="Calibri" w:hAnsi="Calibri"/>
        </w:rPr>
        <w:t>ncorporation</w:t>
      </w:r>
      <w:proofErr w:type="gramEnd"/>
      <w:r w:rsidRPr="006D4AB3">
        <w:rPr>
          <w:rFonts w:ascii="Calibri" w:hAnsi="Calibri"/>
        </w:rPr>
        <w:t xml:space="preserve"> of the Covenant, </w:t>
      </w:r>
      <w:r w:rsidR="002C063F" w:rsidRPr="006D4AB3">
        <w:rPr>
          <w:rFonts w:ascii="Calibri" w:hAnsi="Calibri"/>
        </w:rPr>
        <w:tab/>
      </w:r>
      <w:r w:rsidRPr="006D4AB3">
        <w:rPr>
          <w:rFonts w:ascii="Calibri" w:hAnsi="Calibri"/>
        </w:rPr>
        <w:t xml:space="preserve">2) framework legislation on the right to food, </w:t>
      </w:r>
      <w:r w:rsidR="000F4286" w:rsidRPr="006D4AB3">
        <w:rPr>
          <w:rFonts w:ascii="Calibri" w:hAnsi="Calibri"/>
        </w:rPr>
        <w:br/>
        <w:t xml:space="preserve">3) monitoring of food insecurity, and </w:t>
      </w:r>
      <w:r w:rsidR="002C063F" w:rsidRPr="006D4AB3">
        <w:rPr>
          <w:rFonts w:ascii="Calibri" w:hAnsi="Calibri"/>
        </w:rPr>
        <w:tab/>
      </w:r>
      <w:r w:rsidR="000F4286" w:rsidRPr="006D4AB3">
        <w:rPr>
          <w:rFonts w:ascii="Calibri" w:hAnsi="Calibri"/>
        </w:rPr>
        <w:t>4) regression on the right to food (financial access)</w:t>
      </w:r>
    </w:p>
    <w:p w14:paraId="2370A866" w14:textId="77777777" w:rsidR="00455C05" w:rsidRPr="006D4AB3" w:rsidRDefault="00FB57E4" w:rsidP="002B67F4">
      <w:pPr>
        <w:rPr>
          <w:rFonts w:ascii="Calibri" w:hAnsi="Calibri"/>
          <w:sz w:val="24"/>
        </w:rPr>
      </w:pPr>
      <w:r w:rsidRPr="006D4AB3">
        <w:rPr>
          <w:rFonts w:ascii="Calibri" w:hAnsi="Calibri"/>
          <w:b/>
          <w:sz w:val="24"/>
        </w:rPr>
        <w:t>Part 2:</w:t>
      </w:r>
      <w:r w:rsidR="003F47E6" w:rsidRPr="006D4AB3">
        <w:rPr>
          <w:rFonts w:ascii="Calibri" w:hAnsi="Calibri"/>
          <w:sz w:val="24"/>
        </w:rPr>
        <w:tab/>
      </w:r>
      <w:r w:rsidR="00A9569F" w:rsidRPr="006D4AB3">
        <w:rPr>
          <w:rFonts w:ascii="Calibri" w:hAnsi="Calibri"/>
          <w:sz w:val="24"/>
        </w:rPr>
        <w:tab/>
      </w:r>
      <w:r w:rsidR="003F47E6" w:rsidRPr="006D4AB3">
        <w:rPr>
          <w:rFonts w:ascii="Calibri" w:hAnsi="Calibri"/>
          <w:sz w:val="24"/>
        </w:rPr>
        <w:t>O</w:t>
      </w:r>
      <w:r w:rsidR="00455C05" w:rsidRPr="006D4AB3">
        <w:rPr>
          <w:rFonts w:ascii="Calibri" w:hAnsi="Calibri"/>
          <w:sz w:val="24"/>
        </w:rPr>
        <w:t>verview of the Right to Food in UK, focusing on Scotland</w:t>
      </w:r>
    </w:p>
    <w:p w14:paraId="33F90894" w14:textId="06A78542" w:rsidR="00455C05" w:rsidRPr="006D4AB3" w:rsidRDefault="00455C05" w:rsidP="00455C05">
      <w:pPr>
        <w:rPr>
          <w:rFonts w:ascii="Calibri" w:hAnsi="Calibri"/>
          <w:color w:val="FF0000"/>
          <w:sz w:val="24"/>
        </w:rPr>
      </w:pPr>
      <w:r w:rsidRPr="006D4AB3">
        <w:rPr>
          <w:rFonts w:ascii="Calibri" w:hAnsi="Calibri"/>
          <w:color w:val="2F5496" w:themeColor="accent5" w:themeShade="BF"/>
          <w:sz w:val="24"/>
        </w:rPr>
        <w:tab/>
      </w:r>
      <w:r w:rsidRPr="006D4AB3">
        <w:rPr>
          <w:rFonts w:ascii="Calibri" w:hAnsi="Calibri"/>
          <w:color w:val="2F5496" w:themeColor="accent5" w:themeShade="BF"/>
          <w:sz w:val="24"/>
        </w:rPr>
        <w:tab/>
      </w:r>
      <w:r w:rsidR="00A9569F" w:rsidRPr="006D4AB3">
        <w:rPr>
          <w:rFonts w:ascii="Calibri" w:hAnsi="Calibri"/>
          <w:color w:val="2F5496" w:themeColor="accent5" w:themeShade="BF"/>
          <w:sz w:val="24"/>
        </w:rPr>
        <w:tab/>
      </w:r>
      <w:r w:rsidRPr="006D4AB3">
        <w:rPr>
          <w:rFonts w:ascii="Calibri" w:hAnsi="Calibri"/>
          <w:i/>
          <w:color w:val="FF0000"/>
          <w:sz w:val="24"/>
        </w:rPr>
        <w:t>Access</w:t>
      </w:r>
      <w:r w:rsidR="00176BC9" w:rsidRPr="006D4AB3">
        <w:rPr>
          <w:rFonts w:ascii="Calibri" w:hAnsi="Calibri"/>
          <w:i/>
          <w:color w:val="FF0000"/>
          <w:sz w:val="24"/>
        </w:rPr>
        <w:t>ible</w:t>
      </w:r>
      <w:r w:rsidRPr="006D4AB3">
        <w:rPr>
          <w:rFonts w:ascii="Calibri" w:hAnsi="Calibri"/>
          <w:color w:val="FF0000"/>
          <w:sz w:val="24"/>
        </w:rPr>
        <w:t xml:space="preserve">: </w:t>
      </w:r>
      <w:r w:rsidRPr="006D4AB3">
        <w:rPr>
          <w:rFonts w:ascii="Calibri" w:hAnsi="Calibri"/>
          <w:color w:val="2F5496" w:themeColor="accent5" w:themeShade="BF"/>
          <w:sz w:val="24"/>
        </w:rPr>
        <w:tab/>
      </w:r>
      <w:r w:rsidRPr="006D4AB3">
        <w:rPr>
          <w:rFonts w:ascii="Calibri" w:hAnsi="Calibri"/>
          <w:color w:val="FF0000"/>
          <w:sz w:val="24"/>
        </w:rPr>
        <w:t>Financial</w:t>
      </w:r>
      <w:r w:rsidR="00176BC9" w:rsidRPr="006D4AB3">
        <w:rPr>
          <w:rFonts w:ascii="Calibri" w:hAnsi="Calibri"/>
          <w:color w:val="FF0000"/>
          <w:sz w:val="24"/>
        </w:rPr>
        <w:t>ly</w:t>
      </w:r>
      <w:r w:rsidR="00422CDB">
        <w:rPr>
          <w:rFonts w:ascii="Calibri" w:hAnsi="Calibri"/>
          <w:color w:val="FF0000"/>
          <w:sz w:val="24"/>
        </w:rPr>
        <w:tab/>
      </w:r>
      <w:r w:rsidR="00422CDB">
        <w:rPr>
          <w:rFonts w:ascii="Calibri" w:hAnsi="Calibri"/>
          <w:color w:val="FF0000"/>
          <w:sz w:val="24"/>
        </w:rPr>
        <w:tab/>
      </w:r>
      <w:r w:rsidR="00422CDB">
        <w:rPr>
          <w:rFonts w:ascii="Calibri" w:hAnsi="Calibri"/>
          <w:color w:val="FF0000"/>
          <w:sz w:val="24"/>
        </w:rPr>
        <w:tab/>
      </w:r>
      <w:r w:rsidR="00422CDB">
        <w:rPr>
          <w:rFonts w:ascii="Calibri" w:hAnsi="Calibri"/>
          <w:color w:val="FF0000"/>
          <w:sz w:val="24"/>
        </w:rPr>
        <w:tab/>
      </w:r>
      <w:r w:rsidR="00422CDB">
        <w:rPr>
          <w:rFonts w:ascii="Calibri" w:hAnsi="Calibri"/>
          <w:color w:val="FF0000"/>
          <w:sz w:val="24"/>
        </w:rPr>
        <w:tab/>
      </w:r>
      <w:r w:rsidR="00422CDB">
        <w:rPr>
          <w:rFonts w:ascii="Calibri" w:hAnsi="Calibri"/>
          <w:color w:val="FF0000"/>
          <w:sz w:val="24"/>
        </w:rPr>
        <w:tab/>
      </w:r>
      <w:r w:rsidR="00422CDB" w:rsidRPr="00422CDB">
        <w:rPr>
          <w:rFonts w:ascii="Calibri" w:hAnsi="Calibri"/>
          <w:b/>
          <w:color w:val="FF0000"/>
          <w:sz w:val="24"/>
        </w:rPr>
        <w:t>[2]</w:t>
      </w:r>
    </w:p>
    <w:p w14:paraId="73CAE017" w14:textId="706F650C" w:rsidR="00455C05" w:rsidRPr="006D4AB3" w:rsidRDefault="00455C05" w:rsidP="00455C05">
      <w:pPr>
        <w:rPr>
          <w:rFonts w:ascii="Calibri" w:hAnsi="Calibri"/>
          <w:color w:val="FF0000"/>
          <w:sz w:val="24"/>
        </w:rPr>
      </w:pPr>
      <w:r w:rsidRPr="006D4AB3">
        <w:rPr>
          <w:rFonts w:ascii="Calibri" w:hAnsi="Calibri"/>
          <w:color w:val="FF0000"/>
          <w:sz w:val="24"/>
        </w:rPr>
        <w:tab/>
      </w:r>
      <w:r w:rsidR="00A9569F" w:rsidRPr="006D4AB3">
        <w:rPr>
          <w:rFonts w:ascii="Calibri" w:hAnsi="Calibri"/>
          <w:color w:val="FF0000"/>
          <w:sz w:val="24"/>
        </w:rPr>
        <w:tab/>
      </w:r>
      <w:r w:rsidRPr="006D4AB3">
        <w:rPr>
          <w:rFonts w:ascii="Calibri" w:hAnsi="Calibri"/>
          <w:color w:val="FF0000"/>
          <w:sz w:val="24"/>
        </w:rPr>
        <w:tab/>
      </w:r>
      <w:r w:rsidRPr="006D4AB3">
        <w:rPr>
          <w:rFonts w:ascii="Calibri" w:hAnsi="Calibri"/>
          <w:i/>
          <w:color w:val="FF0000"/>
          <w:sz w:val="24"/>
        </w:rPr>
        <w:t>Access</w:t>
      </w:r>
      <w:r w:rsidR="00176BC9" w:rsidRPr="006D4AB3">
        <w:rPr>
          <w:rFonts w:ascii="Calibri" w:hAnsi="Calibri"/>
          <w:i/>
          <w:color w:val="FF0000"/>
          <w:sz w:val="24"/>
        </w:rPr>
        <w:t>ible</w:t>
      </w:r>
      <w:r w:rsidRPr="006D4AB3">
        <w:rPr>
          <w:rFonts w:ascii="Calibri" w:hAnsi="Calibri"/>
          <w:i/>
          <w:color w:val="FF0000"/>
          <w:sz w:val="24"/>
        </w:rPr>
        <w:t>:</w:t>
      </w:r>
      <w:r w:rsidR="00176BC9" w:rsidRPr="006D4AB3">
        <w:rPr>
          <w:rFonts w:ascii="Calibri" w:hAnsi="Calibri"/>
          <w:color w:val="FF0000"/>
          <w:sz w:val="24"/>
        </w:rPr>
        <w:t xml:space="preserve"> </w:t>
      </w:r>
      <w:r w:rsidR="00176BC9" w:rsidRPr="006D4AB3">
        <w:rPr>
          <w:rFonts w:ascii="Calibri" w:hAnsi="Calibri"/>
          <w:color w:val="FF0000"/>
          <w:sz w:val="24"/>
        </w:rPr>
        <w:tab/>
        <w:t>Geographically</w:t>
      </w:r>
      <w:r w:rsidR="00422CDB">
        <w:rPr>
          <w:rFonts w:ascii="Calibri" w:hAnsi="Calibri"/>
          <w:color w:val="FF0000"/>
          <w:sz w:val="24"/>
        </w:rPr>
        <w:tab/>
      </w:r>
      <w:r w:rsidR="00422CDB">
        <w:rPr>
          <w:rFonts w:ascii="Calibri" w:hAnsi="Calibri"/>
          <w:color w:val="FF0000"/>
          <w:sz w:val="24"/>
        </w:rPr>
        <w:tab/>
      </w:r>
      <w:r w:rsidR="00422CDB">
        <w:rPr>
          <w:rFonts w:ascii="Calibri" w:hAnsi="Calibri"/>
          <w:color w:val="FF0000"/>
          <w:sz w:val="24"/>
        </w:rPr>
        <w:tab/>
      </w:r>
      <w:r w:rsidR="00422CDB">
        <w:rPr>
          <w:rFonts w:ascii="Calibri" w:hAnsi="Calibri"/>
          <w:color w:val="FF0000"/>
          <w:sz w:val="24"/>
        </w:rPr>
        <w:tab/>
      </w:r>
      <w:r w:rsidR="00422CDB">
        <w:rPr>
          <w:rFonts w:ascii="Calibri" w:hAnsi="Calibri"/>
          <w:color w:val="FF0000"/>
          <w:sz w:val="24"/>
        </w:rPr>
        <w:tab/>
      </w:r>
      <w:r w:rsidR="00422CDB" w:rsidRPr="00422CDB">
        <w:rPr>
          <w:rFonts w:ascii="Calibri" w:hAnsi="Calibri"/>
          <w:b/>
          <w:color w:val="FF0000"/>
          <w:sz w:val="24"/>
        </w:rPr>
        <w:t>[8]</w:t>
      </w:r>
    </w:p>
    <w:p w14:paraId="4903D9C0" w14:textId="7C8480B5" w:rsidR="00455C05" w:rsidRPr="006D4AB3" w:rsidRDefault="00455C05" w:rsidP="00455C05">
      <w:pPr>
        <w:rPr>
          <w:rFonts w:ascii="Calibri" w:hAnsi="Calibri"/>
          <w:color w:val="B31391"/>
          <w:sz w:val="24"/>
        </w:rPr>
      </w:pPr>
      <w:r w:rsidRPr="006D4AB3">
        <w:rPr>
          <w:rFonts w:ascii="Calibri" w:hAnsi="Calibri"/>
          <w:color w:val="2F5496" w:themeColor="accent5" w:themeShade="BF"/>
          <w:sz w:val="24"/>
        </w:rPr>
        <w:tab/>
      </w:r>
      <w:r w:rsidR="00A9569F" w:rsidRPr="006D4AB3">
        <w:rPr>
          <w:rFonts w:ascii="Calibri" w:hAnsi="Calibri"/>
          <w:color w:val="2F5496" w:themeColor="accent5" w:themeShade="BF"/>
          <w:sz w:val="24"/>
        </w:rPr>
        <w:tab/>
      </w:r>
      <w:r w:rsidRPr="006D4AB3">
        <w:rPr>
          <w:rFonts w:ascii="Calibri" w:hAnsi="Calibri"/>
          <w:color w:val="B31391"/>
          <w:sz w:val="24"/>
        </w:rPr>
        <w:tab/>
      </w:r>
      <w:r w:rsidRPr="006D4AB3">
        <w:rPr>
          <w:rFonts w:ascii="Calibri" w:hAnsi="Calibri"/>
          <w:i/>
          <w:color w:val="B31391"/>
          <w:sz w:val="24"/>
        </w:rPr>
        <w:t>Adequate</w:t>
      </w:r>
      <w:r w:rsidRPr="006D4AB3">
        <w:rPr>
          <w:rFonts w:ascii="Calibri" w:hAnsi="Calibri"/>
          <w:color w:val="B31391"/>
          <w:sz w:val="24"/>
        </w:rPr>
        <w:t xml:space="preserve">: </w:t>
      </w:r>
      <w:r w:rsidRPr="006D4AB3">
        <w:rPr>
          <w:rFonts w:ascii="Calibri" w:hAnsi="Calibri"/>
          <w:color w:val="B31391"/>
          <w:sz w:val="24"/>
        </w:rPr>
        <w:tab/>
        <w:t>Dietary need</w:t>
      </w:r>
      <w:r w:rsidR="00422CDB">
        <w:rPr>
          <w:rFonts w:ascii="Calibri" w:hAnsi="Calibri"/>
          <w:color w:val="B31391"/>
          <w:sz w:val="24"/>
        </w:rPr>
        <w:tab/>
      </w:r>
      <w:r w:rsidR="00422CDB">
        <w:rPr>
          <w:rFonts w:ascii="Calibri" w:hAnsi="Calibri"/>
          <w:color w:val="B31391"/>
          <w:sz w:val="24"/>
        </w:rPr>
        <w:tab/>
      </w:r>
      <w:r w:rsidR="00422CDB">
        <w:rPr>
          <w:rFonts w:ascii="Calibri" w:hAnsi="Calibri"/>
          <w:color w:val="B31391"/>
          <w:sz w:val="24"/>
        </w:rPr>
        <w:tab/>
      </w:r>
      <w:r w:rsidR="00422CDB">
        <w:rPr>
          <w:rFonts w:ascii="Calibri" w:hAnsi="Calibri"/>
          <w:color w:val="B31391"/>
          <w:sz w:val="24"/>
        </w:rPr>
        <w:tab/>
      </w:r>
      <w:r w:rsidR="00422CDB">
        <w:rPr>
          <w:rFonts w:ascii="Calibri" w:hAnsi="Calibri"/>
          <w:color w:val="B31391"/>
          <w:sz w:val="24"/>
        </w:rPr>
        <w:tab/>
      </w:r>
      <w:r w:rsidR="00422CDB">
        <w:rPr>
          <w:rFonts w:ascii="Calibri" w:hAnsi="Calibri"/>
          <w:color w:val="B31391"/>
          <w:sz w:val="24"/>
        </w:rPr>
        <w:tab/>
      </w:r>
      <w:r w:rsidR="00422CDB" w:rsidRPr="00422CDB">
        <w:rPr>
          <w:rFonts w:ascii="Calibri" w:hAnsi="Calibri"/>
          <w:b/>
          <w:color w:val="B31391"/>
          <w:sz w:val="24"/>
        </w:rPr>
        <w:t>[9]</w:t>
      </w:r>
    </w:p>
    <w:p w14:paraId="33C57D48" w14:textId="008EB24B" w:rsidR="00455C05" w:rsidRPr="006D4AB3" w:rsidRDefault="00455C05" w:rsidP="00455C05">
      <w:pPr>
        <w:rPr>
          <w:rFonts w:ascii="Calibri" w:hAnsi="Calibri"/>
          <w:color w:val="B31391"/>
          <w:sz w:val="24"/>
        </w:rPr>
      </w:pPr>
      <w:r w:rsidRPr="006D4AB3">
        <w:rPr>
          <w:rFonts w:ascii="Calibri" w:hAnsi="Calibri"/>
          <w:color w:val="B31391"/>
          <w:sz w:val="24"/>
        </w:rPr>
        <w:tab/>
      </w:r>
      <w:r w:rsidR="00A9569F" w:rsidRPr="006D4AB3">
        <w:rPr>
          <w:rFonts w:ascii="Calibri" w:hAnsi="Calibri"/>
          <w:color w:val="B31391"/>
          <w:sz w:val="24"/>
        </w:rPr>
        <w:tab/>
      </w:r>
      <w:r w:rsidRPr="006D4AB3">
        <w:rPr>
          <w:rFonts w:ascii="Calibri" w:hAnsi="Calibri"/>
          <w:color w:val="B31391"/>
          <w:sz w:val="24"/>
        </w:rPr>
        <w:tab/>
      </w:r>
      <w:r w:rsidRPr="006D4AB3">
        <w:rPr>
          <w:rFonts w:ascii="Calibri" w:hAnsi="Calibri"/>
          <w:i/>
          <w:color w:val="B31391"/>
          <w:sz w:val="24"/>
        </w:rPr>
        <w:t>Adequate</w:t>
      </w:r>
      <w:r w:rsidRPr="006D4AB3">
        <w:rPr>
          <w:rFonts w:ascii="Calibri" w:hAnsi="Calibri"/>
          <w:color w:val="B31391"/>
          <w:sz w:val="24"/>
        </w:rPr>
        <w:t xml:space="preserve">: </w:t>
      </w:r>
      <w:r w:rsidRPr="006D4AB3">
        <w:rPr>
          <w:rFonts w:ascii="Calibri" w:hAnsi="Calibri"/>
          <w:color w:val="B31391"/>
          <w:sz w:val="24"/>
        </w:rPr>
        <w:tab/>
      </w:r>
      <w:r w:rsidR="00F85DF7">
        <w:rPr>
          <w:rFonts w:ascii="Calibri" w:hAnsi="Calibri"/>
          <w:color w:val="B31391"/>
          <w:sz w:val="24"/>
        </w:rPr>
        <w:t>F</w:t>
      </w:r>
      <w:r w:rsidRPr="006D4AB3">
        <w:rPr>
          <w:rFonts w:ascii="Calibri" w:hAnsi="Calibri"/>
          <w:color w:val="B31391"/>
          <w:sz w:val="24"/>
        </w:rPr>
        <w:t>ree from adverse substances</w:t>
      </w:r>
      <w:r w:rsidR="00422CDB">
        <w:rPr>
          <w:rFonts w:ascii="Calibri" w:hAnsi="Calibri"/>
          <w:color w:val="B31391"/>
          <w:sz w:val="24"/>
        </w:rPr>
        <w:tab/>
      </w:r>
      <w:r w:rsidR="00422CDB">
        <w:rPr>
          <w:rFonts w:ascii="Calibri" w:hAnsi="Calibri"/>
          <w:color w:val="B31391"/>
          <w:sz w:val="24"/>
        </w:rPr>
        <w:tab/>
      </w:r>
      <w:r w:rsidR="00422CDB">
        <w:rPr>
          <w:rFonts w:ascii="Calibri" w:hAnsi="Calibri"/>
          <w:color w:val="B31391"/>
          <w:sz w:val="24"/>
        </w:rPr>
        <w:tab/>
      </w:r>
      <w:r w:rsidR="00422CDB" w:rsidRPr="00422CDB">
        <w:rPr>
          <w:rFonts w:ascii="Calibri" w:hAnsi="Calibri"/>
          <w:b/>
          <w:color w:val="B31391"/>
          <w:sz w:val="24"/>
        </w:rPr>
        <w:t>[13]</w:t>
      </w:r>
    </w:p>
    <w:p w14:paraId="3A640787" w14:textId="7D5AA1B0" w:rsidR="00455C05" w:rsidRPr="006D4AB3" w:rsidRDefault="00455C05" w:rsidP="00455C05">
      <w:pPr>
        <w:rPr>
          <w:rFonts w:ascii="Calibri" w:hAnsi="Calibri"/>
          <w:color w:val="B31391"/>
          <w:sz w:val="24"/>
        </w:rPr>
      </w:pPr>
      <w:r w:rsidRPr="006D4AB3">
        <w:rPr>
          <w:rFonts w:ascii="Calibri" w:hAnsi="Calibri"/>
          <w:color w:val="B31391"/>
          <w:sz w:val="24"/>
        </w:rPr>
        <w:tab/>
      </w:r>
      <w:r w:rsidR="00A9569F" w:rsidRPr="006D4AB3">
        <w:rPr>
          <w:rFonts w:ascii="Calibri" w:hAnsi="Calibri"/>
          <w:color w:val="B31391"/>
          <w:sz w:val="24"/>
        </w:rPr>
        <w:tab/>
      </w:r>
      <w:r w:rsidRPr="006D4AB3">
        <w:rPr>
          <w:rFonts w:ascii="Calibri" w:hAnsi="Calibri"/>
          <w:color w:val="B31391"/>
          <w:sz w:val="24"/>
        </w:rPr>
        <w:tab/>
      </w:r>
      <w:r w:rsidRPr="006D4AB3">
        <w:rPr>
          <w:rFonts w:ascii="Calibri" w:hAnsi="Calibri"/>
          <w:i/>
          <w:color w:val="B31391"/>
          <w:sz w:val="24"/>
        </w:rPr>
        <w:t>Adequate</w:t>
      </w:r>
      <w:r w:rsidRPr="006D4AB3">
        <w:rPr>
          <w:rFonts w:ascii="Calibri" w:hAnsi="Calibri"/>
          <w:color w:val="B31391"/>
          <w:sz w:val="24"/>
        </w:rPr>
        <w:t xml:space="preserve">: </w:t>
      </w:r>
      <w:r w:rsidRPr="006D4AB3">
        <w:rPr>
          <w:rFonts w:ascii="Calibri" w:hAnsi="Calibri"/>
          <w:color w:val="B31391"/>
          <w:sz w:val="24"/>
        </w:rPr>
        <w:tab/>
        <w:t>Culturally appropriate – choice &amp; dignity</w:t>
      </w:r>
      <w:r w:rsidR="00422CDB">
        <w:rPr>
          <w:rFonts w:ascii="Calibri" w:hAnsi="Calibri"/>
          <w:color w:val="B31391"/>
          <w:sz w:val="24"/>
        </w:rPr>
        <w:tab/>
      </w:r>
      <w:r w:rsidR="00422CDB">
        <w:rPr>
          <w:rFonts w:ascii="Calibri" w:hAnsi="Calibri"/>
          <w:color w:val="B31391"/>
          <w:sz w:val="24"/>
        </w:rPr>
        <w:tab/>
      </w:r>
      <w:r w:rsidR="00422CDB" w:rsidRPr="00422CDB">
        <w:rPr>
          <w:rFonts w:ascii="Calibri" w:hAnsi="Calibri"/>
          <w:b/>
          <w:color w:val="B31391"/>
          <w:sz w:val="24"/>
        </w:rPr>
        <w:t>[14]</w:t>
      </w:r>
    </w:p>
    <w:p w14:paraId="2A818DC0" w14:textId="16A6BBC4" w:rsidR="00455C05" w:rsidRPr="006D4AB3" w:rsidRDefault="00455C05" w:rsidP="00455C05">
      <w:pPr>
        <w:rPr>
          <w:rFonts w:ascii="Calibri" w:hAnsi="Calibri"/>
          <w:color w:val="538135" w:themeColor="accent6" w:themeShade="BF"/>
          <w:sz w:val="24"/>
        </w:rPr>
      </w:pPr>
      <w:r w:rsidRPr="006D4AB3">
        <w:rPr>
          <w:rFonts w:ascii="Calibri" w:hAnsi="Calibri"/>
          <w:color w:val="2F5496" w:themeColor="accent5" w:themeShade="BF"/>
          <w:sz w:val="24"/>
        </w:rPr>
        <w:tab/>
      </w:r>
      <w:r w:rsidR="00A9569F" w:rsidRPr="006D4AB3">
        <w:rPr>
          <w:rFonts w:ascii="Calibri" w:hAnsi="Calibri"/>
          <w:color w:val="2F5496" w:themeColor="accent5" w:themeShade="BF"/>
          <w:sz w:val="24"/>
        </w:rPr>
        <w:tab/>
      </w:r>
      <w:r w:rsidRPr="006D4AB3">
        <w:rPr>
          <w:rFonts w:ascii="Calibri" w:hAnsi="Calibri"/>
          <w:color w:val="538135" w:themeColor="accent6" w:themeShade="BF"/>
          <w:sz w:val="24"/>
        </w:rPr>
        <w:tab/>
      </w:r>
      <w:r w:rsidRPr="006D4AB3">
        <w:rPr>
          <w:rFonts w:ascii="Calibri" w:hAnsi="Calibri"/>
          <w:i/>
          <w:color w:val="538135" w:themeColor="accent6" w:themeShade="BF"/>
          <w:sz w:val="24"/>
        </w:rPr>
        <w:t>Available</w:t>
      </w:r>
      <w:r w:rsidRPr="006D4AB3">
        <w:rPr>
          <w:rFonts w:ascii="Calibri" w:hAnsi="Calibri"/>
          <w:color w:val="538135" w:themeColor="accent6" w:themeShade="BF"/>
          <w:sz w:val="24"/>
        </w:rPr>
        <w:t xml:space="preserve">: </w:t>
      </w:r>
      <w:r w:rsidRPr="006D4AB3">
        <w:rPr>
          <w:rFonts w:ascii="Calibri" w:hAnsi="Calibri"/>
          <w:color w:val="538135" w:themeColor="accent6" w:themeShade="BF"/>
          <w:sz w:val="24"/>
        </w:rPr>
        <w:tab/>
        <w:t>Land and other resources</w:t>
      </w:r>
      <w:r w:rsidR="00422CDB">
        <w:rPr>
          <w:rFonts w:ascii="Calibri" w:hAnsi="Calibri"/>
          <w:color w:val="538135" w:themeColor="accent6" w:themeShade="BF"/>
          <w:sz w:val="24"/>
        </w:rPr>
        <w:tab/>
      </w:r>
      <w:r w:rsidR="00422CDB">
        <w:rPr>
          <w:rFonts w:ascii="Calibri" w:hAnsi="Calibri"/>
          <w:color w:val="538135" w:themeColor="accent6" w:themeShade="BF"/>
          <w:sz w:val="24"/>
        </w:rPr>
        <w:tab/>
      </w:r>
      <w:r w:rsidR="00422CDB">
        <w:rPr>
          <w:rFonts w:ascii="Calibri" w:hAnsi="Calibri"/>
          <w:color w:val="538135" w:themeColor="accent6" w:themeShade="BF"/>
          <w:sz w:val="24"/>
        </w:rPr>
        <w:tab/>
      </w:r>
      <w:r w:rsidR="00422CDB">
        <w:rPr>
          <w:rFonts w:ascii="Calibri" w:hAnsi="Calibri"/>
          <w:color w:val="538135" w:themeColor="accent6" w:themeShade="BF"/>
          <w:sz w:val="24"/>
        </w:rPr>
        <w:tab/>
      </w:r>
      <w:r w:rsidR="00071382">
        <w:rPr>
          <w:rFonts w:ascii="Calibri" w:hAnsi="Calibri"/>
          <w:b/>
          <w:color w:val="538135" w:themeColor="accent6" w:themeShade="BF"/>
          <w:sz w:val="24"/>
        </w:rPr>
        <w:t>[15</w:t>
      </w:r>
      <w:r w:rsidR="00422CDB" w:rsidRPr="00422CDB">
        <w:rPr>
          <w:rFonts w:ascii="Calibri" w:hAnsi="Calibri"/>
          <w:b/>
          <w:color w:val="538135" w:themeColor="accent6" w:themeShade="BF"/>
          <w:sz w:val="24"/>
        </w:rPr>
        <w:t>]</w:t>
      </w:r>
    </w:p>
    <w:p w14:paraId="4727D212" w14:textId="2CDE0B92" w:rsidR="00455C05" w:rsidRPr="00422CDB" w:rsidRDefault="00455C05" w:rsidP="00455C05">
      <w:pPr>
        <w:rPr>
          <w:rFonts w:ascii="Calibri" w:hAnsi="Calibri"/>
          <w:b/>
          <w:color w:val="538135" w:themeColor="accent6" w:themeShade="BF"/>
          <w:sz w:val="24"/>
        </w:rPr>
      </w:pPr>
      <w:r w:rsidRPr="006D4AB3">
        <w:rPr>
          <w:rFonts w:ascii="Calibri" w:hAnsi="Calibri"/>
          <w:color w:val="538135" w:themeColor="accent6" w:themeShade="BF"/>
          <w:sz w:val="24"/>
        </w:rPr>
        <w:tab/>
      </w:r>
      <w:r w:rsidR="00A9569F" w:rsidRPr="006D4AB3">
        <w:rPr>
          <w:rFonts w:ascii="Calibri" w:hAnsi="Calibri"/>
          <w:color w:val="538135" w:themeColor="accent6" w:themeShade="BF"/>
          <w:sz w:val="24"/>
        </w:rPr>
        <w:tab/>
      </w:r>
      <w:r w:rsidRPr="006D4AB3">
        <w:rPr>
          <w:rFonts w:ascii="Calibri" w:hAnsi="Calibri"/>
          <w:color w:val="538135" w:themeColor="accent6" w:themeShade="BF"/>
          <w:sz w:val="24"/>
        </w:rPr>
        <w:tab/>
      </w:r>
      <w:r w:rsidRPr="006D4AB3">
        <w:rPr>
          <w:rFonts w:ascii="Calibri" w:hAnsi="Calibri"/>
          <w:i/>
          <w:color w:val="538135" w:themeColor="accent6" w:themeShade="BF"/>
          <w:sz w:val="24"/>
        </w:rPr>
        <w:t>Available</w:t>
      </w:r>
      <w:r w:rsidRPr="006D4AB3">
        <w:rPr>
          <w:rFonts w:ascii="Calibri" w:hAnsi="Calibri"/>
          <w:color w:val="538135" w:themeColor="accent6" w:themeShade="BF"/>
          <w:sz w:val="24"/>
        </w:rPr>
        <w:t xml:space="preserve">: </w:t>
      </w:r>
      <w:r w:rsidRPr="006D4AB3">
        <w:rPr>
          <w:rFonts w:ascii="Calibri" w:hAnsi="Calibri"/>
          <w:color w:val="538135" w:themeColor="accent6" w:themeShade="BF"/>
          <w:sz w:val="24"/>
        </w:rPr>
        <w:tab/>
        <w:t xml:space="preserve">Processing, distribution &amp; markets </w:t>
      </w:r>
      <w:r w:rsidR="00422CDB">
        <w:rPr>
          <w:rFonts w:ascii="Calibri" w:hAnsi="Calibri"/>
          <w:color w:val="538135" w:themeColor="accent6" w:themeShade="BF"/>
          <w:sz w:val="24"/>
        </w:rPr>
        <w:tab/>
      </w:r>
      <w:r w:rsidR="00422CDB">
        <w:rPr>
          <w:rFonts w:ascii="Calibri" w:hAnsi="Calibri"/>
          <w:color w:val="538135" w:themeColor="accent6" w:themeShade="BF"/>
          <w:sz w:val="24"/>
        </w:rPr>
        <w:tab/>
      </w:r>
      <w:r w:rsidR="00422CDB">
        <w:rPr>
          <w:rFonts w:ascii="Calibri" w:hAnsi="Calibri"/>
          <w:color w:val="538135" w:themeColor="accent6" w:themeShade="BF"/>
          <w:sz w:val="24"/>
        </w:rPr>
        <w:tab/>
      </w:r>
      <w:r w:rsidR="00422CDB" w:rsidRPr="00422CDB">
        <w:rPr>
          <w:rFonts w:ascii="Calibri" w:hAnsi="Calibri"/>
          <w:b/>
          <w:color w:val="538135" w:themeColor="accent6" w:themeShade="BF"/>
          <w:sz w:val="24"/>
        </w:rPr>
        <w:t>[15]</w:t>
      </w:r>
    </w:p>
    <w:p w14:paraId="5DB2D5C7" w14:textId="5D6EA20D" w:rsidR="00455C05" w:rsidRPr="00422CDB" w:rsidRDefault="0088395C" w:rsidP="00455C05">
      <w:pPr>
        <w:rPr>
          <w:rFonts w:ascii="Calibri" w:hAnsi="Calibri"/>
          <w:b/>
          <w:color w:val="538135" w:themeColor="accent6" w:themeShade="BF"/>
          <w:sz w:val="24"/>
        </w:rPr>
      </w:pPr>
      <w:r w:rsidRPr="006D4AB3">
        <w:rPr>
          <w:rFonts w:ascii="Calibri" w:hAnsi="Calibri"/>
          <w:color w:val="538135" w:themeColor="accent6" w:themeShade="BF"/>
          <w:sz w:val="24"/>
        </w:rPr>
        <w:tab/>
      </w:r>
      <w:r w:rsidR="00A9569F" w:rsidRPr="006D4AB3">
        <w:rPr>
          <w:rFonts w:ascii="Calibri" w:hAnsi="Calibri"/>
          <w:color w:val="538135" w:themeColor="accent6" w:themeShade="BF"/>
          <w:sz w:val="24"/>
        </w:rPr>
        <w:tab/>
      </w:r>
      <w:r w:rsidRPr="006D4AB3">
        <w:rPr>
          <w:rFonts w:ascii="Calibri" w:hAnsi="Calibri"/>
          <w:color w:val="538135" w:themeColor="accent6" w:themeShade="BF"/>
          <w:sz w:val="24"/>
        </w:rPr>
        <w:tab/>
      </w:r>
      <w:r w:rsidRPr="006D4AB3">
        <w:rPr>
          <w:rFonts w:ascii="Calibri" w:hAnsi="Calibri"/>
          <w:i/>
          <w:color w:val="538135" w:themeColor="accent6" w:themeShade="BF"/>
          <w:sz w:val="24"/>
        </w:rPr>
        <w:t>Available</w:t>
      </w:r>
      <w:r w:rsidRPr="006D4AB3">
        <w:rPr>
          <w:rFonts w:ascii="Calibri" w:hAnsi="Calibri"/>
          <w:color w:val="538135" w:themeColor="accent6" w:themeShade="BF"/>
          <w:sz w:val="24"/>
        </w:rPr>
        <w:t xml:space="preserve">: </w:t>
      </w:r>
      <w:r w:rsidRPr="006D4AB3">
        <w:rPr>
          <w:rFonts w:ascii="Calibri" w:hAnsi="Calibri"/>
          <w:color w:val="538135" w:themeColor="accent6" w:themeShade="BF"/>
          <w:sz w:val="24"/>
        </w:rPr>
        <w:tab/>
      </w:r>
      <w:r w:rsidRPr="00FD3308">
        <w:rPr>
          <w:rFonts w:ascii="Calibri" w:hAnsi="Calibri"/>
          <w:color w:val="538135" w:themeColor="accent6" w:themeShade="BF"/>
          <w:sz w:val="24"/>
        </w:rPr>
        <w:t>Now and into the future</w:t>
      </w:r>
      <w:r w:rsidR="00422CDB">
        <w:rPr>
          <w:rFonts w:ascii="Calibri" w:hAnsi="Calibri"/>
          <w:color w:val="538135" w:themeColor="accent6" w:themeShade="BF"/>
          <w:sz w:val="24"/>
        </w:rPr>
        <w:tab/>
      </w:r>
      <w:r w:rsidR="00422CDB">
        <w:rPr>
          <w:rFonts w:ascii="Calibri" w:hAnsi="Calibri"/>
          <w:color w:val="538135" w:themeColor="accent6" w:themeShade="BF"/>
          <w:sz w:val="24"/>
        </w:rPr>
        <w:tab/>
      </w:r>
      <w:r w:rsidR="00422CDB">
        <w:rPr>
          <w:rFonts w:ascii="Calibri" w:hAnsi="Calibri"/>
          <w:color w:val="538135" w:themeColor="accent6" w:themeShade="BF"/>
          <w:sz w:val="24"/>
        </w:rPr>
        <w:tab/>
      </w:r>
      <w:r w:rsidR="00422CDB">
        <w:rPr>
          <w:rFonts w:ascii="Calibri" w:hAnsi="Calibri"/>
          <w:color w:val="538135" w:themeColor="accent6" w:themeShade="BF"/>
          <w:sz w:val="24"/>
        </w:rPr>
        <w:tab/>
      </w:r>
      <w:r w:rsidR="00422CDB" w:rsidRPr="00422CDB">
        <w:rPr>
          <w:rFonts w:ascii="Calibri" w:hAnsi="Calibri"/>
          <w:b/>
          <w:color w:val="538135" w:themeColor="accent6" w:themeShade="BF"/>
          <w:sz w:val="24"/>
        </w:rPr>
        <w:t>[16]</w:t>
      </w:r>
    </w:p>
    <w:p w14:paraId="30C019F2" w14:textId="784BA788" w:rsidR="00B33E20" w:rsidRPr="00422CDB" w:rsidRDefault="0088395C" w:rsidP="00455C05">
      <w:pPr>
        <w:rPr>
          <w:rFonts w:ascii="Calibri" w:hAnsi="Calibri"/>
          <w:b/>
          <w:sz w:val="24"/>
        </w:rPr>
      </w:pPr>
      <w:r w:rsidRPr="00E75066">
        <w:rPr>
          <w:rFonts w:ascii="Calibri" w:hAnsi="Calibri"/>
          <w:b/>
          <w:sz w:val="24"/>
        </w:rPr>
        <w:t>Part 3</w:t>
      </w:r>
      <w:r w:rsidR="00455C05" w:rsidRPr="00E75066">
        <w:rPr>
          <w:rFonts w:ascii="Calibri" w:hAnsi="Calibri"/>
          <w:b/>
          <w:sz w:val="24"/>
        </w:rPr>
        <w:t>:</w:t>
      </w:r>
      <w:r w:rsidR="00455C05" w:rsidRPr="00E75066">
        <w:rPr>
          <w:rFonts w:ascii="Calibri" w:hAnsi="Calibri"/>
          <w:sz w:val="24"/>
        </w:rPr>
        <w:t xml:space="preserve"> </w:t>
      </w:r>
      <w:r w:rsidR="00455C05" w:rsidRPr="00E75066">
        <w:rPr>
          <w:rFonts w:ascii="Calibri" w:hAnsi="Calibri"/>
          <w:sz w:val="24"/>
        </w:rPr>
        <w:tab/>
      </w:r>
      <w:r w:rsidR="00A9569F" w:rsidRPr="00E75066">
        <w:rPr>
          <w:rFonts w:ascii="Calibri" w:hAnsi="Calibri"/>
          <w:sz w:val="24"/>
        </w:rPr>
        <w:tab/>
      </w:r>
      <w:r w:rsidR="00455C05" w:rsidRPr="00E75066">
        <w:rPr>
          <w:rFonts w:ascii="Calibri" w:hAnsi="Calibri"/>
          <w:sz w:val="24"/>
        </w:rPr>
        <w:t>Responding directly to the C</w:t>
      </w:r>
      <w:r w:rsidR="000F4286" w:rsidRPr="00E75066">
        <w:rPr>
          <w:rFonts w:ascii="Calibri" w:hAnsi="Calibri"/>
          <w:sz w:val="24"/>
        </w:rPr>
        <w:t xml:space="preserve">ommittee on </w:t>
      </w:r>
      <w:r w:rsidR="00455C05" w:rsidRPr="00E75066">
        <w:rPr>
          <w:rFonts w:ascii="Calibri" w:hAnsi="Calibri"/>
          <w:sz w:val="24"/>
        </w:rPr>
        <w:t>ESCR</w:t>
      </w:r>
      <w:r w:rsidR="000F4286" w:rsidRPr="00E75066">
        <w:rPr>
          <w:rFonts w:ascii="Calibri" w:hAnsi="Calibri"/>
          <w:sz w:val="24"/>
        </w:rPr>
        <w:t>’</w:t>
      </w:r>
      <w:r w:rsidR="008B77FA" w:rsidRPr="00E75066">
        <w:rPr>
          <w:rFonts w:ascii="Calibri" w:hAnsi="Calibri"/>
          <w:sz w:val="24"/>
        </w:rPr>
        <w:t>s November 2015 LOIs</w:t>
      </w:r>
      <w:r w:rsidR="00422CDB">
        <w:rPr>
          <w:rFonts w:ascii="Calibri" w:hAnsi="Calibri"/>
          <w:sz w:val="24"/>
        </w:rPr>
        <w:tab/>
      </w:r>
      <w:r w:rsidR="00422CDB" w:rsidRPr="00422CDB">
        <w:rPr>
          <w:rFonts w:ascii="Calibri" w:hAnsi="Calibri"/>
          <w:b/>
          <w:sz w:val="24"/>
        </w:rPr>
        <w:t>[17]</w:t>
      </w:r>
    </w:p>
    <w:p w14:paraId="54B02CE8" w14:textId="77777777" w:rsidR="00B33E20" w:rsidRPr="006D4AB3" w:rsidRDefault="008B77FA" w:rsidP="00455C05">
      <w:pPr>
        <w:rPr>
          <w:rFonts w:ascii="Calibri" w:hAnsi="Calibri"/>
          <w:b/>
          <w:sz w:val="24"/>
        </w:rPr>
      </w:pPr>
      <w:r w:rsidRPr="006D4AB3">
        <w:rPr>
          <w:rFonts w:ascii="Calibri" w:hAnsi="Calibri"/>
          <w:b/>
          <w:sz w:val="24"/>
        </w:rPr>
        <w:t xml:space="preserve">Appendix 1: </w:t>
      </w:r>
      <w:r w:rsidRPr="006D4AB3">
        <w:rPr>
          <w:rFonts w:ascii="Calibri" w:hAnsi="Calibri"/>
          <w:b/>
          <w:sz w:val="24"/>
        </w:rPr>
        <w:tab/>
      </w:r>
      <w:r w:rsidRPr="006D4AB3">
        <w:rPr>
          <w:rFonts w:ascii="Calibri" w:hAnsi="Calibri"/>
          <w:sz w:val="24"/>
        </w:rPr>
        <w:t>Full list of recommendations</w:t>
      </w:r>
    </w:p>
    <w:p w14:paraId="05B7B1E0" w14:textId="77777777" w:rsidR="00BF6FD7" w:rsidRPr="006D4AB3" w:rsidRDefault="008B77FA" w:rsidP="00455C05">
      <w:pPr>
        <w:rPr>
          <w:rFonts w:ascii="Calibri" w:hAnsi="Calibri"/>
          <w:sz w:val="24"/>
        </w:rPr>
      </w:pPr>
      <w:r w:rsidRPr="006D4AB3">
        <w:rPr>
          <w:rFonts w:ascii="Calibri" w:hAnsi="Calibri"/>
          <w:b/>
          <w:sz w:val="24"/>
        </w:rPr>
        <w:t>Appendix 2</w:t>
      </w:r>
      <w:r w:rsidR="00455C05" w:rsidRPr="006D4AB3">
        <w:rPr>
          <w:rFonts w:ascii="Calibri" w:hAnsi="Calibri"/>
          <w:b/>
          <w:sz w:val="24"/>
        </w:rPr>
        <w:t>:</w:t>
      </w:r>
      <w:r w:rsidR="00BF6FD7" w:rsidRPr="006D4AB3">
        <w:rPr>
          <w:rFonts w:ascii="Calibri" w:hAnsi="Calibri"/>
          <w:sz w:val="24"/>
        </w:rPr>
        <w:t xml:space="preserve"> </w:t>
      </w:r>
      <w:r w:rsidR="00BF6FD7" w:rsidRPr="006D4AB3">
        <w:rPr>
          <w:rFonts w:ascii="Calibri" w:hAnsi="Calibri"/>
          <w:sz w:val="24"/>
        </w:rPr>
        <w:tab/>
      </w:r>
      <w:r w:rsidR="00B33E20" w:rsidRPr="006D4AB3">
        <w:rPr>
          <w:rFonts w:ascii="Calibri" w:hAnsi="Calibri"/>
          <w:sz w:val="24"/>
        </w:rPr>
        <w:t>Quick reference</w:t>
      </w:r>
      <w:r w:rsidR="00BF6FD7" w:rsidRPr="006D4AB3">
        <w:rPr>
          <w:rFonts w:ascii="Calibri" w:hAnsi="Calibri"/>
          <w:sz w:val="24"/>
        </w:rPr>
        <w:t xml:space="preserve"> analysis of </w:t>
      </w:r>
      <w:r w:rsidR="00DE18E7" w:rsidRPr="006D4AB3">
        <w:rPr>
          <w:rFonts w:ascii="Calibri" w:hAnsi="Calibri"/>
          <w:sz w:val="24"/>
        </w:rPr>
        <w:t xml:space="preserve">wages, </w:t>
      </w:r>
      <w:r w:rsidR="00BF6FD7" w:rsidRPr="006D4AB3">
        <w:rPr>
          <w:rFonts w:ascii="Calibri" w:hAnsi="Calibri"/>
          <w:sz w:val="24"/>
        </w:rPr>
        <w:t>social security reforms</w:t>
      </w:r>
      <w:r w:rsidR="00DE18E7" w:rsidRPr="006D4AB3">
        <w:rPr>
          <w:rFonts w:ascii="Calibri" w:hAnsi="Calibri"/>
          <w:sz w:val="24"/>
        </w:rPr>
        <w:t>, and crisis provision</w:t>
      </w:r>
    </w:p>
    <w:p w14:paraId="732F9FEF" w14:textId="77777777" w:rsidR="00BF6FD7" w:rsidRPr="006D4AB3" w:rsidRDefault="008B77FA" w:rsidP="00455C05">
      <w:pPr>
        <w:rPr>
          <w:rFonts w:ascii="Calibri" w:hAnsi="Calibri"/>
          <w:sz w:val="24"/>
        </w:rPr>
      </w:pPr>
      <w:r w:rsidRPr="006D4AB3">
        <w:rPr>
          <w:rFonts w:ascii="Calibri" w:hAnsi="Calibri"/>
          <w:b/>
          <w:sz w:val="24"/>
        </w:rPr>
        <w:t>Appendix 3</w:t>
      </w:r>
      <w:r w:rsidR="00BF6FD7" w:rsidRPr="006D4AB3">
        <w:rPr>
          <w:rFonts w:ascii="Calibri" w:hAnsi="Calibri"/>
          <w:b/>
          <w:sz w:val="24"/>
        </w:rPr>
        <w:t>:</w:t>
      </w:r>
      <w:r w:rsidR="00BF6FD7" w:rsidRPr="006D4AB3">
        <w:rPr>
          <w:rFonts w:ascii="Calibri" w:hAnsi="Calibri"/>
          <w:sz w:val="24"/>
        </w:rPr>
        <w:t xml:space="preserve"> </w:t>
      </w:r>
      <w:r w:rsidR="00BF6FD7" w:rsidRPr="006D4AB3">
        <w:rPr>
          <w:rFonts w:ascii="Calibri" w:hAnsi="Calibri"/>
          <w:sz w:val="24"/>
        </w:rPr>
        <w:tab/>
      </w:r>
      <w:r w:rsidR="00B33E20" w:rsidRPr="006D4AB3">
        <w:rPr>
          <w:rFonts w:ascii="Calibri" w:hAnsi="Calibri"/>
          <w:sz w:val="24"/>
        </w:rPr>
        <w:t>Quick reference visualisation</w:t>
      </w:r>
      <w:r w:rsidR="00BF6FD7" w:rsidRPr="006D4AB3">
        <w:rPr>
          <w:rFonts w:ascii="Calibri" w:hAnsi="Calibri"/>
          <w:sz w:val="24"/>
        </w:rPr>
        <w:t xml:space="preserve"> of social security powers to be devolved to Scotland</w:t>
      </w:r>
    </w:p>
    <w:p w14:paraId="0517918F" w14:textId="77777777" w:rsidR="00455C05" w:rsidRPr="006D4AB3" w:rsidRDefault="008B77FA" w:rsidP="00455C05">
      <w:pPr>
        <w:rPr>
          <w:rFonts w:ascii="Calibri" w:hAnsi="Calibri"/>
          <w:sz w:val="24"/>
        </w:rPr>
      </w:pPr>
      <w:r w:rsidRPr="006D4AB3">
        <w:rPr>
          <w:rFonts w:ascii="Calibri" w:hAnsi="Calibri"/>
          <w:b/>
          <w:sz w:val="24"/>
        </w:rPr>
        <w:t>Appendix 4</w:t>
      </w:r>
      <w:r w:rsidR="00BF6FD7" w:rsidRPr="006D4AB3">
        <w:rPr>
          <w:rFonts w:ascii="Calibri" w:hAnsi="Calibri"/>
          <w:b/>
          <w:sz w:val="24"/>
        </w:rPr>
        <w:t>:</w:t>
      </w:r>
      <w:r w:rsidR="00BF6FD7" w:rsidRPr="006D4AB3">
        <w:rPr>
          <w:rFonts w:ascii="Calibri" w:hAnsi="Calibri"/>
          <w:sz w:val="24"/>
        </w:rPr>
        <w:t xml:space="preserve"> </w:t>
      </w:r>
      <w:r w:rsidR="00BF6FD7" w:rsidRPr="006D4AB3">
        <w:rPr>
          <w:rFonts w:ascii="Calibri" w:hAnsi="Calibri"/>
          <w:sz w:val="24"/>
        </w:rPr>
        <w:tab/>
      </w:r>
      <w:r w:rsidR="00455C05" w:rsidRPr="006D4AB3">
        <w:rPr>
          <w:rFonts w:ascii="Calibri" w:hAnsi="Calibri"/>
          <w:sz w:val="24"/>
        </w:rPr>
        <w:t>A devolution map</w:t>
      </w:r>
    </w:p>
    <w:p w14:paraId="7437C6A1" w14:textId="77777777" w:rsidR="002133B6" w:rsidRPr="006D4AB3" w:rsidRDefault="002133B6" w:rsidP="002133B6">
      <w:pPr>
        <w:rPr>
          <w:rFonts w:ascii="Calibri" w:hAnsi="Calibri"/>
          <w:szCs w:val="28"/>
        </w:rPr>
      </w:pPr>
      <w:r w:rsidRPr="006D4AB3">
        <w:rPr>
          <w:rFonts w:ascii="Calibri" w:hAnsi="Calibri"/>
          <w:b/>
          <w:szCs w:val="28"/>
        </w:rPr>
        <w:br/>
        <w:t>Author</w:t>
      </w:r>
      <w:r w:rsidRPr="006D4AB3">
        <w:rPr>
          <w:rFonts w:ascii="Calibri" w:hAnsi="Calibri"/>
          <w:szCs w:val="28"/>
        </w:rPr>
        <w:t>:</w:t>
      </w:r>
      <w:r w:rsidRPr="006D4AB3">
        <w:rPr>
          <w:rFonts w:ascii="Calibri" w:hAnsi="Calibri"/>
          <w:szCs w:val="28"/>
        </w:rPr>
        <w:tab/>
      </w:r>
      <w:r w:rsidRPr="006D4AB3">
        <w:rPr>
          <w:rFonts w:ascii="Calibri" w:hAnsi="Calibri"/>
          <w:szCs w:val="28"/>
        </w:rPr>
        <w:tab/>
      </w:r>
      <w:r w:rsidR="006D4AB3">
        <w:rPr>
          <w:rFonts w:ascii="Calibri" w:hAnsi="Calibri"/>
          <w:szCs w:val="28"/>
        </w:rPr>
        <w:tab/>
      </w:r>
      <w:r w:rsidRPr="006D4AB3">
        <w:rPr>
          <w:rFonts w:ascii="Calibri" w:hAnsi="Calibri"/>
          <w:szCs w:val="28"/>
        </w:rPr>
        <w:t xml:space="preserve">Elli </w:t>
      </w:r>
      <w:proofErr w:type="spellStart"/>
      <w:r w:rsidRPr="006D4AB3">
        <w:rPr>
          <w:rFonts w:ascii="Calibri" w:hAnsi="Calibri"/>
          <w:szCs w:val="28"/>
        </w:rPr>
        <w:t>Kontorravdis</w:t>
      </w:r>
      <w:proofErr w:type="spellEnd"/>
      <w:r w:rsidRPr="006D4AB3">
        <w:rPr>
          <w:rFonts w:ascii="Calibri" w:hAnsi="Calibri"/>
          <w:szCs w:val="28"/>
        </w:rPr>
        <w:t>, Policy &amp; Campaigns Officer – Nourish Scotland</w:t>
      </w:r>
      <w:r w:rsidRPr="006D4AB3">
        <w:rPr>
          <w:rFonts w:ascii="Calibri" w:hAnsi="Calibri"/>
          <w:szCs w:val="28"/>
        </w:rPr>
        <w:br/>
      </w:r>
      <w:r w:rsidRPr="006D4AB3">
        <w:rPr>
          <w:rFonts w:ascii="Calibri" w:hAnsi="Calibri"/>
          <w:szCs w:val="28"/>
        </w:rPr>
        <w:tab/>
      </w:r>
      <w:r w:rsidRPr="006D4AB3">
        <w:rPr>
          <w:rFonts w:ascii="Calibri" w:hAnsi="Calibri"/>
          <w:szCs w:val="28"/>
        </w:rPr>
        <w:tab/>
      </w:r>
      <w:r w:rsidRPr="006D4AB3">
        <w:rPr>
          <w:rFonts w:ascii="Calibri" w:hAnsi="Calibri"/>
          <w:szCs w:val="28"/>
        </w:rPr>
        <w:tab/>
        <w:t xml:space="preserve">contact for further information: </w:t>
      </w:r>
      <w:r w:rsidRPr="006D4AB3">
        <w:rPr>
          <w:rFonts w:ascii="Calibri" w:hAnsi="Calibri"/>
          <w:szCs w:val="28"/>
        </w:rPr>
        <w:tab/>
      </w:r>
      <w:hyperlink r:id="rId9" w:history="1">
        <w:r w:rsidRPr="006D4AB3">
          <w:rPr>
            <w:rStyle w:val="Hyperlink"/>
            <w:rFonts w:ascii="Calibri" w:hAnsi="Calibri"/>
            <w:szCs w:val="28"/>
          </w:rPr>
          <w:t>elli@nourishscotland.org.uk</w:t>
        </w:r>
      </w:hyperlink>
    </w:p>
    <w:p w14:paraId="1ACC0AB9" w14:textId="6B365E19" w:rsidR="002133B6" w:rsidRPr="006D4AB3" w:rsidRDefault="002133B6" w:rsidP="002133B6">
      <w:pPr>
        <w:ind w:left="2160" w:hanging="2160"/>
        <w:rPr>
          <w:rFonts w:ascii="Calibri" w:hAnsi="Calibri"/>
          <w:szCs w:val="28"/>
        </w:rPr>
      </w:pPr>
      <w:r w:rsidRPr="006D4AB3">
        <w:rPr>
          <w:rFonts w:ascii="Calibri" w:hAnsi="Calibri"/>
          <w:b/>
          <w:szCs w:val="28"/>
        </w:rPr>
        <w:t>Acknowledgments</w:t>
      </w:r>
      <w:r w:rsidRPr="006D4AB3">
        <w:rPr>
          <w:rFonts w:ascii="Calibri" w:hAnsi="Calibri"/>
          <w:szCs w:val="28"/>
        </w:rPr>
        <w:t xml:space="preserve">: </w:t>
      </w:r>
      <w:r w:rsidRPr="006D4AB3">
        <w:rPr>
          <w:rFonts w:ascii="Calibri" w:hAnsi="Calibri"/>
          <w:szCs w:val="28"/>
        </w:rPr>
        <w:tab/>
        <w:t xml:space="preserve">We would like to thank children’s rights consultant Dr Chelsea Marshall, and organic farmer Heather Anderson for their supporting commentary on children’s rights and processing, distribution and markets respectively. </w:t>
      </w:r>
      <w:r w:rsidR="00F14BB4" w:rsidRPr="006D4AB3">
        <w:rPr>
          <w:rFonts w:ascii="Calibri" w:hAnsi="Calibri"/>
          <w:szCs w:val="28"/>
        </w:rPr>
        <w:br/>
      </w:r>
      <w:r w:rsidRPr="006D4AB3">
        <w:rPr>
          <w:rFonts w:ascii="Calibri" w:hAnsi="Calibri"/>
          <w:szCs w:val="28"/>
        </w:rPr>
        <w:t xml:space="preserve">We would also like to thank our members and civil society friends </w:t>
      </w:r>
      <w:r w:rsidR="00F14BB4" w:rsidRPr="006D4AB3">
        <w:rPr>
          <w:rFonts w:ascii="Calibri" w:hAnsi="Calibri"/>
          <w:szCs w:val="28"/>
        </w:rPr>
        <w:t xml:space="preserve">for their </w:t>
      </w:r>
      <w:r w:rsidR="00D02A49">
        <w:rPr>
          <w:rFonts w:ascii="Calibri" w:hAnsi="Calibri"/>
          <w:szCs w:val="28"/>
        </w:rPr>
        <w:t>on</w:t>
      </w:r>
      <w:r w:rsidR="00D02A49" w:rsidRPr="006D4AB3">
        <w:rPr>
          <w:rFonts w:ascii="Calibri" w:hAnsi="Calibri"/>
          <w:szCs w:val="28"/>
        </w:rPr>
        <w:t>-going</w:t>
      </w:r>
      <w:r w:rsidR="00F14BB4" w:rsidRPr="006D4AB3">
        <w:rPr>
          <w:rFonts w:ascii="Calibri" w:hAnsi="Calibri"/>
          <w:szCs w:val="28"/>
        </w:rPr>
        <w:t xml:space="preserve"> </w:t>
      </w:r>
      <w:r w:rsidRPr="006D4AB3">
        <w:rPr>
          <w:rFonts w:ascii="Calibri" w:hAnsi="Calibri"/>
          <w:szCs w:val="28"/>
        </w:rPr>
        <w:t>suppor</w:t>
      </w:r>
      <w:r w:rsidR="00F14BB4" w:rsidRPr="006D4AB3">
        <w:rPr>
          <w:rFonts w:ascii="Calibri" w:hAnsi="Calibri"/>
          <w:szCs w:val="28"/>
        </w:rPr>
        <w:t>t of</w:t>
      </w:r>
      <w:r w:rsidRPr="006D4AB3">
        <w:rPr>
          <w:rFonts w:ascii="Calibri" w:hAnsi="Calibri"/>
          <w:szCs w:val="28"/>
        </w:rPr>
        <w:t xml:space="preserve"> </w:t>
      </w:r>
      <w:r w:rsidR="00F14BB4" w:rsidRPr="006D4AB3">
        <w:rPr>
          <w:rFonts w:ascii="Calibri" w:hAnsi="Calibri"/>
          <w:szCs w:val="28"/>
        </w:rPr>
        <w:t>the</w:t>
      </w:r>
      <w:r w:rsidRPr="006D4AB3">
        <w:rPr>
          <w:rFonts w:ascii="Calibri" w:hAnsi="Calibri"/>
          <w:szCs w:val="28"/>
        </w:rPr>
        <w:t xml:space="preserve"> Right to Food campaign. </w:t>
      </w:r>
    </w:p>
    <w:p w14:paraId="05E4B894" w14:textId="77777777" w:rsidR="00033747" w:rsidRDefault="00033747">
      <w:pPr>
        <w:rPr>
          <w:rFonts w:ascii="Calibri" w:hAnsi="Calibri"/>
          <w:b/>
          <w:sz w:val="28"/>
          <w:szCs w:val="28"/>
        </w:rPr>
      </w:pPr>
      <w:r>
        <w:rPr>
          <w:rFonts w:ascii="Calibri" w:hAnsi="Calibri"/>
          <w:b/>
          <w:sz w:val="28"/>
          <w:szCs w:val="28"/>
        </w:rPr>
        <w:br w:type="page"/>
      </w:r>
    </w:p>
    <w:p w14:paraId="1D659663" w14:textId="58CE8582" w:rsidR="00A32AE8" w:rsidRPr="006D4AB3" w:rsidRDefault="00BB5CB1" w:rsidP="002C063F">
      <w:pPr>
        <w:rPr>
          <w:rFonts w:ascii="Calibri" w:hAnsi="Calibri"/>
          <w:b/>
          <w:sz w:val="28"/>
          <w:szCs w:val="28"/>
        </w:rPr>
      </w:pPr>
      <w:r w:rsidRPr="006D4AB3">
        <w:rPr>
          <w:rFonts w:ascii="Calibri" w:hAnsi="Calibri"/>
          <w:b/>
          <w:sz w:val="28"/>
          <w:szCs w:val="28"/>
        </w:rPr>
        <w:lastRenderedPageBreak/>
        <w:t>Part 1:</w:t>
      </w:r>
      <w:r w:rsidR="00455C05" w:rsidRPr="006D4AB3">
        <w:rPr>
          <w:rFonts w:ascii="Calibri" w:hAnsi="Calibri"/>
          <w:b/>
          <w:sz w:val="28"/>
          <w:szCs w:val="28"/>
        </w:rPr>
        <w:tab/>
      </w:r>
      <w:r w:rsidR="003F47E6" w:rsidRPr="006D4AB3">
        <w:rPr>
          <w:rFonts w:ascii="Calibri" w:hAnsi="Calibri"/>
          <w:b/>
          <w:sz w:val="28"/>
          <w:szCs w:val="28"/>
        </w:rPr>
        <w:t>I</w:t>
      </w:r>
      <w:r w:rsidR="00B81802" w:rsidRPr="006D4AB3">
        <w:rPr>
          <w:rFonts w:ascii="Calibri" w:hAnsi="Calibri"/>
          <w:b/>
          <w:sz w:val="28"/>
          <w:szCs w:val="28"/>
        </w:rPr>
        <w:t xml:space="preserve">ntroduction and </w:t>
      </w:r>
      <w:r w:rsidR="003F47E6" w:rsidRPr="006D4AB3">
        <w:rPr>
          <w:rFonts w:ascii="Calibri" w:hAnsi="Calibri"/>
          <w:b/>
          <w:sz w:val="28"/>
          <w:szCs w:val="28"/>
        </w:rPr>
        <w:t xml:space="preserve">an </w:t>
      </w:r>
      <w:r w:rsidR="00B81802" w:rsidRPr="006D4AB3">
        <w:rPr>
          <w:rFonts w:ascii="Calibri" w:hAnsi="Calibri"/>
          <w:b/>
          <w:sz w:val="28"/>
          <w:szCs w:val="28"/>
        </w:rPr>
        <w:t>update on initial concerns raised at PSWG</w:t>
      </w:r>
    </w:p>
    <w:p w14:paraId="5D470617" w14:textId="77777777" w:rsidR="00455C05" w:rsidRPr="006D4AB3" w:rsidRDefault="009D6E2D" w:rsidP="002C063F">
      <w:pPr>
        <w:rPr>
          <w:rFonts w:ascii="Calibri" w:hAnsi="Calibri"/>
        </w:rPr>
      </w:pPr>
      <w:r w:rsidRPr="006D4AB3">
        <w:rPr>
          <w:rFonts w:ascii="Calibri" w:hAnsi="Calibri"/>
        </w:rPr>
        <w:t>W</w:t>
      </w:r>
      <w:r w:rsidR="00455C05" w:rsidRPr="006D4AB3">
        <w:rPr>
          <w:rFonts w:ascii="Calibri" w:hAnsi="Calibri"/>
        </w:rPr>
        <w:t>e are deeply concerned about the numerous and intersecting failures to incorporate and realise Covenant obligations on the right to food across the UK.</w:t>
      </w:r>
    </w:p>
    <w:p w14:paraId="08C18E0E" w14:textId="77777777" w:rsidR="00455C05" w:rsidRPr="006D4AB3" w:rsidRDefault="00455C05" w:rsidP="002C063F">
      <w:pPr>
        <w:rPr>
          <w:rFonts w:ascii="Calibri" w:hAnsi="Calibri"/>
        </w:rPr>
      </w:pPr>
      <w:r w:rsidRPr="006D4AB3">
        <w:rPr>
          <w:rFonts w:ascii="Calibri" w:hAnsi="Calibri"/>
        </w:rPr>
        <w:t xml:space="preserve">Reiterating </w:t>
      </w:r>
      <w:r w:rsidR="00896782" w:rsidRPr="006D4AB3">
        <w:rPr>
          <w:rFonts w:ascii="Calibri" w:hAnsi="Calibri"/>
        </w:rPr>
        <w:t>the</w:t>
      </w:r>
      <w:r w:rsidRPr="006D4AB3">
        <w:rPr>
          <w:rFonts w:ascii="Calibri" w:hAnsi="Calibri"/>
        </w:rPr>
        <w:t xml:space="preserve"> </w:t>
      </w:r>
      <w:r w:rsidRPr="006D4AB3">
        <w:rPr>
          <w:rFonts w:ascii="Calibri" w:hAnsi="Calibri"/>
          <w:b/>
        </w:rPr>
        <w:t>main points</w:t>
      </w:r>
      <w:r w:rsidR="009D6E2D" w:rsidRPr="006D4AB3">
        <w:rPr>
          <w:rFonts w:ascii="Calibri" w:hAnsi="Calibri"/>
          <w:b/>
        </w:rPr>
        <w:t xml:space="preserve"> of concern</w:t>
      </w:r>
      <w:r w:rsidRPr="006D4AB3">
        <w:rPr>
          <w:rFonts w:ascii="Calibri" w:hAnsi="Calibri"/>
        </w:rPr>
        <w:t xml:space="preserve"> from </w:t>
      </w:r>
      <w:r w:rsidR="00896782" w:rsidRPr="006D4AB3">
        <w:rPr>
          <w:rFonts w:ascii="Calibri" w:hAnsi="Calibri"/>
        </w:rPr>
        <w:t>our</w:t>
      </w:r>
      <w:r w:rsidRPr="006D4AB3">
        <w:rPr>
          <w:rFonts w:ascii="Calibri" w:hAnsi="Calibri"/>
        </w:rPr>
        <w:t xml:space="preserve"> Pre-Sessional </w:t>
      </w:r>
      <w:r w:rsidR="00896782" w:rsidRPr="006D4AB3">
        <w:rPr>
          <w:rFonts w:ascii="Calibri" w:hAnsi="Calibri"/>
        </w:rPr>
        <w:t>Working Group</w:t>
      </w:r>
      <w:r w:rsidR="009D6E2D" w:rsidRPr="006D4AB3">
        <w:rPr>
          <w:rFonts w:ascii="Calibri" w:hAnsi="Calibri"/>
        </w:rPr>
        <w:t xml:space="preserve"> </w:t>
      </w:r>
      <w:r w:rsidR="00896782" w:rsidRPr="006D4AB3">
        <w:rPr>
          <w:rFonts w:ascii="Calibri" w:hAnsi="Calibri"/>
        </w:rPr>
        <w:t xml:space="preserve">evidence </w:t>
      </w:r>
      <w:r w:rsidR="009D6E2D" w:rsidRPr="006D4AB3">
        <w:rPr>
          <w:rFonts w:ascii="Calibri" w:hAnsi="Calibri"/>
        </w:rPr>
        <w:t>(August 2015)</w:t>
      </w:r>
      <w:proofErr w:type="gramStart"/>
      <w:r w:rsidRPr="006D4AB3">
        <w:rPr>
          <w:rFonts w:ascii="Calibri" w:hAnsi="Calibri"/>
        </w:rPr>
        <w:t>;</w:t>
      </w:r>
      <w:proofErr w:type="gramEnd"/>
      <w:r w:rsidRPr="006D4AB3">
        <w:rPr>
          <w:rFonts w:ascii="Calibri" w:hAnsi="Calibri"/>
        </w:rPr>
        <w:t xml:space="preserve"> </w:t>
      </w:r>
    </w:p>
    <w:p w14:paraId="04735F92" w14:textId="352A69BA" w:rsidR="009D6E2D" w:rsidRPr="006D4AB3" w:rsidRDefault="00FB57E4" w:rsidP="002C063F">
      <w:pPr>
        <w:pStyle w:val="ListParagraph"/>
        <w:numPr>
          <w:ilvl w:val="0"/>
          <w:numId w:val="10"/>
        </w:numPr>
        <w:ind w:left="1077" w:hanging="357"/>
        <w:contextualSpacing w:val="0"/>
        <w:rPr>
          <w:rFonts w:ascii="Calibri" w:hAnsi="Calibri"/>
        </w:rPr>
      </w:pPr>
      <w:proofErr w:type="gramStart"/>
      <w:r w:rsidRPr="006D4AB3">
        <w:rPr>
          <w:rFonts w:ascii="Calibri" w:hAnsi="Calibri"/>
        </w:rPr>
        <w:t>t</w:t>
      </w:r>
      <w:r w:rsidR="009D6E2D" w:rsidRPr="006D4AB3">
        <w:rPr>
          <w:rFonts w:ascii="Calibri" w:hAnsi="Calibri"/>
        </w:rPr>
        <w:t>he</w:t>
      </w:r>
      <w:proofErr w:type="gramEnd"/>
      <w:r w:rsidR="009D6E2D" w:rsidRPr="006D4AB3">
        <w:rPr>
          <w:rFonts w:ascii="Calibri" w:hAnsi="Calibri"/>
        </w:rPr>
        <w:t xml:space="preserve"> Coven</w:t>
      </w:r>
      <w:r w:rsidR="001E1E3F">
        <w:rPr>
          <w:rFonts w:ascii="Calibri" w:hAnsi="Calibri"/>
        </w:rPr>
        <w:t>ant has not been incorporated</w:t>
      </w:r>
      <w:r w:rsidR="009D6E2D" w:rsidRPr="006D4AB3">
        <w:rPr>
          <w:rFonts w:ascii="Calibri" w:hAnsi="Calibri"/>
        </w:rPr>
        <w:t xml:space="preserve"> in to the domestic legal system and is not justiciable</w:t>
      </w:r>
      <w:r w:rsidRPr="006D4AB3">
        <w:rPr>
          <w:rFonts w:ascii="Calibri" w:hAnsi="Calibri"/>
        </w:rPr>
        <w:t>,</w:t>
      </w:r>
    </w:p>
    <w:p w14:paraId="59260528" w14:textId="77777777" w:rsidR="009D6E2D" w:rsidRPr="006D4AB3" w:rsidRDefault="003F47E6" w:rsidP="002C063F">
      <w:pPr>
        <w:pStyle w:val="ListParagraph"/>
        <w:numPr>
          <w:ilvl w:val="0"/>
          <w:numId w:val="10"/>
        </w:numPr>
        <w:ind w:left="1077" w:hanging="357"/>
        <w:contextualSpacing w:val="0"/>
        <w:rPr>
          <w:rFonts w:ascii="Calibri" w:hAnsi="Calibri"/>
        </w:rPr>
      </w:pPr>
      <w:proofErr w:type="gramStart"/>
      <w:r w:rsidRPr="006D4AB3">
        <w:rPr>
          <w:rFonts w:ascii="Calibri" w:hAnsi="Calibri"/>
        </w:rPr>
        <w:t>there</w:t>
      </w:r>
      <w:proofErr w:type="gramEnd"/>
      <w:r w:rsidRPr="006D4AB3">
        <w:rPr>
          <w:rFonts w:ascii="Calibri" w:hAnsi="Calibri"/>
        </w:rPr>
        <w:t xml:space="preserve"> is an </w:t>
      </w:r>
      <w:r w:rsidR="00FB57E4" w:rsidRPr="006D4AB3">
        <w:rPr>
          <w:rFonts w:ascii="Calibri" w:hAnsi="Calibri"/>
        </w:rPr>
        <w:t>a</w:t>
      </w:r>
      <w:r w:rsidR="009D6E2D" w:rsidRPr="006D4AB3">
        <w:rPr>
          <w:rFonts w:ascii="Calibri" w:hAnsi="Calibri"/>
        </w:rPr>
        <w:t xml:space="preserve">bsence of legislation and policy cohesion </w:t>
      </w:r>
      <w:r w:rsidR="00823F43" w:rsidRPr="006D4AB3">
        <w:rPr>
          <w:rFonts w:ascii="Calibri" w:hAnsi="Calibri"/>
        </w:rPr>
        <w:t>to make real</w:t>
      </w:r>
      <w:r w:rsidR="009D6E2D" w:rsidRPr="006D4AB3">
        <w:rPr>
          <w:rFonts w:ascii="Calibri" w:hAnsi="Calibri"/>
        </w:rPr>
        <w:t xml:space="preserve"> the right to food</w:t>
      </w:r>
      <w:r w:rsidR="00FB57E4" w:rsidRPr="006D4AB3">
        <w:rPr>
          <w:rFonts w:ascii="Calibri" w:hAnsi="Calibri"/>
        </w:rPr>
        <w:t>,</w:t>
      </w:r>
      <w:r w:rsidR="009D6E2D" w:rsidRPr="006D4AB3">
        <w:rPr>
          <w:rFonts w:ascii="Calibri" w:hAnsi="Calibri"/>
        </w:rPr>
        <w:t xml:space="preserve"> </w:t>
      </w:r>
    </w:p>
    <w:p w14:paraId="22A0B450" w14:textId="77777777" w:rsidR="009D6E2D" w:rsidRPr="006D4AB3" w:rsidRDefault="00FB57E4" w:rsidP="002C063F">
      <w:pPr>
        <w:pStyle w:val="ListParagraph"/>
        <w:numPr>
          <w:ilvl w:val="0"/>
          <w:numId w:val="10"/>
        </w:numPr>
        <w:ind w:left="1077" w:hanging="357"/>
        <w:contextualSpacing w:val="0"/>
        <w:rPr>
          <w:rFonts w:ascii="Calibri" w:hAnsi="Calibri"/>
        </w:rPr>
      </w:pPr>
      <w:proofErr w:type="gramStart"/>
      <w:r w:rsidRPr="006D4AB3">
        <w:rPr>
          <w:rFonts w:ascii="Calibri" w:hAnsi="Calibri"/>
        </w:rPr>
        <w:t>t</w:t>
      </w:r>
      <w:r w:rsidR="009D6E2D" w:rsidRPr="006D4AB3">
        <w:rPr>
          <w:rFonts w:ascii="Calibri" w:hAnsi="Calibri"/>
        </w:rPr>
        <w:t>here</w:t>
      </w:r>
      <w:proofErr w:type="gramEnd"/>
      <w:r w:rsidR="009D6E2D" w:rsidRPr="006D4AB3">
        <w:rPr>
          <w:rFonts w:ascii="Calibri" w:hAnsi="Calibri"/>
        </w:rPr>
        <w:t xml:space="preserve"> is no periodic monitoring of the real level of food insecurity</w:t>
      </w:r>
      <w:r w:rsidRPr="006D4AB3">
        <w:rPr>
          <w:rFonts w:ascii="Calibri" w:hAnsi="Calibri"/>
        </w:rPr>
        <w:t>, and</w:t>
      </w:r>
    </w:p>
    <w:p w14:paraId="0A32204E" w14:textId="77777777" w:rsidR="009D6E2D" w:rsidRPr="006D4AB3" w:rsidRDefault="00FB57E4" w:rsidP="002C063F">
      <w:pPr>
        <w:pStyle w:val="ListParagraph"/>
        <w:numPr>
          <w:ilvl w:val="0"/>
          <w:numId w:val="10"/>
        </w:numPr>
        <w:ind w:left="1077" w:hanging="357"/>
        <w:contextualSpacing w:val="0"/>
        <w:rPr>
          <w:rFonts w:ascii="Calibri" w:hAnsi="Calibri"/>
        </w:rPr>
      </w:pPr>
      <w:proofErr w:type="gramStart"/>
      <w:r w:rsidRPr="006D4AB3">
        <w:rPr>
          <w:rFonts w:ascii="Calibri" w:hAnsi="Calibri"/>
        </w:rPr>
        <w:t>r</w:t>
      </w:r>
      <w:r w:rsidR="009D6E2D" w:rsidRPr="006D4AB3">
        <w:rPr>
          <w:rFonts w:ascii="Calibri" w:hAnsi="Calibri"/>
        </w:rPr>
        <w:t>egression</w:t>
      </w:r>
      <w:proofErr w:type="gramEnd"/>
      <w:r w:rsidR="009D6E2D" w:rsidRPr="006D4AB3">
        <w:rPr>
          <w:rFonts w:ascii="Calibri" w:hAnsi="Calibri"/>
        </w:rPr>
        <w:t>, particularly on financial accessibility, which has been discriminatory in impact</w:t>
      </w:r>
      <w:r w:rsidRPr="006D4AB3">
        <w:rPr>
          <w:rFonts w:ascii="Calibri" w:hAnsi="Calibri"/>
        </w:rPr>
        <w:t>.</w:t>
      </w:r>
    </w:p>
    <w:p w14:paraId="400E0F80" w14:textId="77777777" w:rsidR="00FB57E4" w:rsidRPr="006D4AB3" w:rsidRDefault="00FB57E4" w:rsidP="002C063F">
      <w:pPr>
        <w:rPr>
          <w:rFonts w:ascii="Calibri" w:hAnsi="Calibri"/>
        </w:rPr>
      </w:pPr>
      <w:r w:rsidRPr="006D4AB3">
        <w:rPr>
          <w:rFonts w:ascii="Calibri" w:hAnsi="Calibri"/>
        </w:rPr>
        <w:t xml:space="preserve">- </w:t>
      </w:r>
      <w:r w:rsidR="002D413E" w:rsidRPr="006D4AB3">
        <w:rPr>
          <w:rFonts w:ascii="Calibri" w:hAnsi="Calibri"/>
        </w:rPr>
        <w:t>We believe all of the</w:t>
      </w:r>
      <w:r w:rsidRPr="006D4AB3">
        <w:rPr>
          <w:rFonts w:ascii="Calibri" w:hAnsi="Calibri"/>
        </w:rPr>
        <w:t>se</w:t>
      </w:r>
      <w:r w:rsidR="002D413E" w:rsidRPr="006D4AB3">
        <w:rPr>
          <w:rFonts w:ascii="Calibri" w:hAnsi="Calibri"/>
        </w:rPr>
        <w:t xml:space="preserve"> concerns remain outstanding.</w:t>
      </w:r>
      <w:r w:rsidRPr="006D4AB3">
        <w:rPr>
          <w:rFonts w:ascii="Calibri" w:hAnsi="Calibri"/>
        </w:rPr>
        <w:t xml:space="preserve"> </w:t>
      </w:r>
    </w:p>
    <w:p w14:paraId="7675800E" w14:textId="77777777" w:rsidR="00FB57E4" w:rsidRPr="006D4AB3" w:rsidRDefault="00FB57E4" w:rsidP="002C063F">
      <w:pPr>
        <w:rPr>
          <w:rFonts w:ascii="Calibri" w:hAnsi="Calibri"/>
        </w:rPr>
      </w:pPr>
      <w:r w:rsidRPr="006D4AB3">
        <w:rPr>
          <w:rFonts w:ascii="Calibri" w:hAnsi="Calibri"/>
        </w:rPr>
        <w:t>Rather than remaking the case for each concern, we will reiterate</w:t>
      </w:r>
      <w:r w:rsidR="00AC316F" w:rsidRPr="006D4AB3">
        <w:rPr>
          <w:rFonts w:ascii="Calibri" w:hAnsi="Calibri"/>
        </w:rPr>
        <w:t xml:space="preserve"> briefly and provide</w:t>
      </w:r>
      <w:r w:rsidRPr="006D4AB3">
        <w:rPr>
          <w:rFonts w:ascii="Calibri" w:hAnsi="Calibri"/>
        </w:rPr>
        <w:t xml:space="preserve"> strengthened recommendations on </w:t>
      </w:r>
      <w:r w:rsidRPr="006D4AB3">
        <w:rPr>
          <w:rFonts w:ascii="Calibri" w:hAnsi="Calibri"/>
          <w:b/>
          <w:i/>
        </w:rPr>
        <w:t>concerns 1, 2 and 3</w:t>
      </w:r>
      <w:r w:rsidR="00AC316F" w:rsidRPr="006D4AB3">
        <w:rPr>
          <w:rFonts w:ascii="Calibri" w:hAnsi="Calibri"/>
        </w:rPr>
        <w:t xml:space="preserve">. We then </w:t>
      </w:r>
      <w:r w:rsidRPr="006D4AB3">
        <w:rPr>
          <w:rFonts w:ascii="Calibri" w:hAnsi="Calibri"/>
        </w:rPr>
        <w:t xml:space="preserve">provide a </w:t>
      </w:r>
      <w:r w:rsidR="00AC316F" w:rsidRPr="006D4AB3">
        <w:rPr>
          <w:rFonts w:ascii="Calibri" w:hAnsi="Calibri"/>
        </w:rPr>
        <w:t>fuller</w:t>
      </w:r>
      <w:r w:rsidRPr="006D4AB3">
        <w:rPr>
          <w:rFonts w:ascii="Calibri" w:hAnsi="Calibri"/>
        </w:rPr>
        <w:t xml:space="preserve"> analysis of</w:t>
      </w:r>
      <w:r w:rsidR="00AC316F" w:rsidRPr="006D4AB3">
        <w:rPr>
          <w:rFonts w:ascii="Calibri" w:hAnsi="Calibri"/>
        </w:rPr>
        <w:t xml:space="preserve"> the initial</w:t>
      </w:r>
      <w:r w:rsidRPr="006D4AB3">
        <w:rPr>
          <w:rFonts w:ascii="Calibri" w:hAnsi="Calibri"/>
        </w:rPr>
        <w:t xml:space="preserve"> </w:t>
      </w:r>
      <w:r w:rsidRPr="006D4AB3">
        <w:rPr>
          <w:rFonts w:ascii="Calibri" w:hAnsi="Calibri"/>
          <w:b/>
          <w:i/>
        </w:rPr>
        <w:t>concern 4</w:t>
      </w:r>
      <w:r w:rsidRPr="006D4AB3">
        <w:rPr>
          <w:rFonts w:ascii="Calibri" w:hAnsi="Calibri"/>
        </w:rPr>
        <w:t xml:space="preserve"> </w:t>
      </w:r>
      <w:r w:rsidR="00AC316F" w:rsidRPr="006D4AB3">
        <w:rPr>
          <w:rFonts w:ascii="Calibri" w:hAnsi="Calibri"/>
        </w:rPr>
        <w:t>and extend this</w:t>
      </w:r>
      <w:r w:rsidRPr="006D4AB3">
        <w:rPr>
          <w:rFonts w:ascii="Calibri" w:hAnsi="Calibri"/>
        </w:rPr>
        <w:t xml:space="preserve"> beyond financial accessibility </w:t>
      </w:r>
      <w:r w:rsidR="00AC316F" w:rsidRPr="006D4AB3">
        <w:rPr>
          <w:rFonts w:ascii="Calibri" w:hAnsi="Calibri"/>
        </w:rPr>
        <w:t xml:space="preserve">to provide an overview of </w:t>
      </w:r>
      <w:r w:rsidRPr="006D4AB3">
        <w:rPr>
          <w:rFonts w:ascii="Calibri" w:hAnsi="Calibri"/>
        </w:rPr>
        <w:t xml:space="preserve">UK’s </w:t>
      </w:r>
      <w:r w:rsidR="00AC316F" w:rsidRPr="006D4AB3">
        <w:rPr>
          <w:rFonts w:ascii="Calibri" w:hAnsi="Calibri"/>
        </w:rPr>
        <w:t>performance across all pillar</w:t>
      </w:r>
      <w:r w:rsidR="00896782" w:rsidRPr="006D4AB3">
        <w:rPr>
          <w:rFonts w:ascii="Calibri" w:hAnsi="Calibri"/>
        </w:rPr>
        <w:t xml:space="preserve">s of the right to food in </w:t>
      </w:r>
      <w:r w:rsidR="00896782" w:rsidRPr="006D4AB3">
        <w:rPr>
          <w:rFonts w:ascii="Calibri" w:hAnsi="Calibri"/>
          <w:b/>
        </w:rPr>
        <w:t>Part 2</w:t>
      </w:r>
      <w:r w:rsidR="00896782" w:rsidRPr="006D4AB3">
        <w:rPr>
          <w:rFonts w:ascii="Calibri" w:hAnsi="Calibri"/>
        </w:rPr>
        <w:t xml:space="preserve"> of this report.</w:t>
      </w:r>
    </w:p>
    <w:p w14:paraId="14BEA222" w14:textId="77777777" w:rsidR="00BD0011" w:rsidRPr="006D4AB3" w:rsidRDefault="00BD0011" w:rsidP="002C063F">
      <w:pPr>
        <w:rPr>
          <w:rFonts w:ascii="Calibri" w:hAnsi="Calibri"/>
          <w:b/>
          <w:u w:val="single"/>
        </w:rPr>
      </w:pPr>
    </w:p>
    <w:p w14:paraId="705EAE5E" w14:textId="77777777" w:rsidR="002D413E" w:rsidRPr="006D4AB3" w:rsidRDefault="00AC316F" w:rsidP="002C063F">
      <w:pPr>
        <w:rPr>
          <w:rFonts w:ascii="Calibri" w:hAnsi="Calibri"/>
          <w:b/>
          <w:u w:val="single"/>
        </w:rPr>
      </w:pPr>
      <w:r w:rsidRPr="006D4AB3">
        <w:rPr>
          <w:rFonts w:ascii="Calibri" w:hAnsi="Calibri"/>
          <w:b/>
          <w:u w:val="single"/>
        </w:rPr>
        <w:t>On concerns 1, 2 and 3:</w:t>
      </w:r>
    </w:p>
    <w:p w14:paraId="7B5438F1" w14:textId="77777777" w:rsidR="00506EFF" w:rsidRPr="006D4AB3" w:rsidRDefault="00AC316F" w:rsidP="002C063F">
      <w:pPr>
        <w:rPr>
          <w:rFonts w:ascii="Calibri" w:hAnsi="Calibri"/>
        </w:rPr>
      </w:pPr>
      <w:r w:rsidRPr="006D4AB3">
        <w:rPr>
          <w:rFonts w:ascii="Calibri" w:hAnsi="Calibri"/>
        </w:rPr>
        <w:t xml:space="preserve">The Committee has many times made clear the case in favour of full incorporation. </w:t>
      </w:r>
      <w:r w:rsidR="00A00925" w:rsidRPr="006D4AB3">
        <w:rPr>
          <w:rFonts w:ascii="Calibri" w:hAnsi="Calibri"/>
        </w:rPr>
        <w:t>In short,</w:t>
      </w:r>
      <w:r w:rsidR="00051C18" w:rsidRPr="006D4AB3">
        <w:rPr>
          <w:rFonts w:ascii="Calibri" w:hAnsi="Calibri"/>
        </w:rPr>
        <w:t xml:space="preserve"> we agree that</w:t>
      </w:r>
      <w:r w:rsidR="00A00925" w:rsidRPr="006D4AB3">
        <w:rPr>
          <w:rFonts w:ascii="Calibri" w:hAnsi="Calibri"/>
        </w:rPr>
        <w:t xml:space="preserve"> t</w:t>
      </w:r>
      <w:r w:rsidR="00823F43" w:rsidRPr="006D4AB3">
        <w:rPr>
          <w:rFonts w:ascii="Calibri" w:hAnsi="Calibri"/>
        </w:rPr>
        <w:t>he combination of not incorporating the Covenant</w:t>
      </w:r>
      <w:r w:rsidRPr="006D4AB3">
        <w:rPr>
          <w:rFonts w:ascii="Calibri" w:hAnsi="Calibri"/>
        </w:rPr>
        <w:t xml:space="preserve"> and </w:t>
      </w:r>
      <w:r w:rsidR="00823F43" w:rsidRPr="006D4AB3">
        <w:rPr>
          <w:rFonts w:ascii="Calibri" w:hAnsi="Calibri"/>
        </w:rPr>
        <w:t>not signing</w:t>
      </w:r>
      <w:r w:rsidRPr="006D4AB3">
        <w:rPr>
          <w:rFonts w:ascii="Calibri" w:hAnsi="Calibri"/>
        </w:rPr>
        <w:t xml:space="preserve"> up to the Optional Protocol </w:t>
      </w:r>
      <w:r w:rsidR="002D413E" w:rsidRPr="006D4AB3">
        <w:rPr>
          <w:rFonts w:ascii="Calibri" w:hAnsi="Calibri"/>
        </w:rPr>
        <w:t xml:space="preserve">on </w:t>
      </w:r>
      <w:r w:rsidR="003F47E6" w:rsidRPr="006D4AB3">
        <w:rPr>
          <w:rFonts w:ascii="Calibri" w:hAnsi="Calibri"/>
        </w:rPr>
        <w:t>the Covenant</w:t>
      </w:r>
      <w:r w:rsidR="002D413E" w:rsidRPr="006D4AB3">
        <w:rPr>
          <w:rFonts w:ascii="Calibri" w:hAnsi="Calibri"/>
        </w:rPr>
        <w:t xml:space="preserve">, </w:t>
      </w:r>
      <w:r w:rsidR="00823F43" w:rsidRPr="006D4AB3">
        <w:rPr>
          <w:rFonts w:ascii="Calibri" w:hAnsi="Calibri"/>
        </w:rPr>
        <w:t xml:space="preserve">has made the </w:t>
      </w:r>
      <w:r w:rsidR="002D413E" w:rsidRPr="006D4AB3">
        <w:rPr>
          <w:rFonts w:ascii="Calibri" w:hAnsi="Calibri"/>
        </w:rPr>
        <w:t>Covenant rights</w:t>
      </w:r>
      <w:r w:rsidR="00823F43" w:rsidRPr="006D4AB3">
        <w:rPr>
          <w:rFonts w:ascii="Calibri" w:hAnsi="Calibri"/>
        </w:rPr>
        <w:t xml:space="preserve"> an empty promise in the UK</w:t>
      </w:r>
      <w:r w:rsidR="002D413E" w:rsidRPr="006D4AB3">
        <w:rPr>
          <w:rFonts w:ascii="Calibri" w:hAnsi="Calibri"/>
        </w:rPr>
        <w:t xml:space="preserve"> </w:t>
      </w:r>
      <w:r w:rsidR="00823F43" w:rsidRPr="006D4AB3">
        <w:rPr>
          <w:rFonts w:ascii="Calibri" w:hAnsi="Calibri"/>
        </w:rPr>
        <w:t xml:space="preserve">– </w:t>
      </w:r>
      <w:r w:rsidR="003F47E6" w:rsidRPr="006D4AB3">
        <w:rPr>
          <w:rFonts w:ascii="Calibri" w:hAnsi="Calibri"/>
        </w:rPr>
        <w:t>the rights</w:t>
      </w:r>
      <w:r w:rsidR="00823F43" w:rsidRPr="006D4AB3">
        <w:rPr>
          <w:rFonts w:ascii="Calibri" w:hAnsi="Calibri"/>
        </w:rPr>
        <w:t xml:space="preserve"> are</w:t>
      </w:r>
      <w:r w:rsidR="002D413E" w:rsidRPr="006D4AB3">
        <w:rPr>
          <w:rFonts w:ascii="Calibri" w:hAnsi="Calibri"/>
        </w:rPr>
        <w:t xml:space="preserve"> unenforceable by individuals, and are not integrated in </w:t>
      </w:r>
      <w:r w:rsidRPr="006D4AB3">
        <w:rPr>
          <w:rFonts w:ascii="Calibri" w:hAnsi="Calibri"/>
        </w:rPr>
        <w:t>law, policy</w:t>
      </w:r>
      <w:r w:rsidR="002D413E" w:rsidRPr="006D4AB3">
        <w:rPr>
          <w:rFonts w:ascii="Calibri" w:hAnsi="Calibri"/>
        </w:rPr>
        <w:t xml:space="preserve"> or decision-making. </w:t>
      </w:r>
      <w:r w:rsidR="00A00925" w:rsidRPr="006D4AB3">
        <w:rPr>
          <w:rFonts w:ascii="Calibri" w:hAnsi="Calibri"/>
        </w:rPr>
        <w:t xml:space="preserve">The judiciary </w:t>
      </w:r>
      <w:r w:rsidR="00051C18" w:rsidRPr="006D4AB3">
        <w:rPr>
          <w:rFonts w:ascii="Calibri" w:hAnsi="Calibri"/>
        </w:rPr>
        <w:t xml:space="preserve">in the UK </w:t>
      </w:r>
      <w:r w:rsidR="00A00925" w:rsidRPr="006D4AB3">
        <w:rPr>
          <w:rFonts w:ascii="Calibri" w:hAnsi="Calibri"/>
        </w:rPr>
        <w:t xml:space="preserve">have for some time had regard to unincorporated covenants where relevant </w:t>
      </w:r>
      <w:r w:rsidR="00B839BA" w:rsidRPr="006D4AB3">
        <w:rPr>
          <w:rFonts w:ascii="Calibri" w:hAnsi="Calibri"/>
        </w:rPr>
        <w:t>to</w:t>
      </w:r>
      <w:r w:rsidR="00A00925" w:rsidRPr="006D4AB3">
        <w:rPr>
          <w:rFonts w:ascii="Calibri" w:hAnsi="Calibri"/>
        </w:rPr>
        <w:t xml:space="preserve"> interpretation </w:t>
      </w:r>
      <w:r w:rsidR="00B839BA" w:rsidRPr="006D4AB3">
        <w:rPr>
          <w:rFonts w:ascii="Calibri" w:hAnsi="Calibri"/>
        </w:rPr>
        <w:t xml:space="preserve">of </w:t>
      </w:r>
      <w:r w:rsidR="00A00925" w:rsidRPr="006D4AB3">
        <w:rPr>
          <w:rFonts w:ascii="Calibri" w:hAnsi="Calibri"/>
        </w:rPr>
        <w:t xml:space="preserve">domestic </w:t>
      </w:r>
      <w:r w:rsidR="00B839BA" w:rsidRPr="006D4AB3">
        <w:rPr>
          <w:rFonts w:ascii="Calibri" w:hAnsi="Calibri"/>
        </w:rPr>
        <w:t>law and policy</w:t>
      </w:r>
      <w:r w:rsidR="00A00925" w:rsidRPr="006D4AB3">
        <w:rPr>
          <w:rFonts w:ascii="Calibri" w:hAnsi="Calibri"/>
        </w:rPr>
        <w:t xml:space="preserve">, but this </w:t>
      </w:r>
      <w:r w:rsidR="00B839BA" w:rsidRPr="006D4AB3">
        <w:rPr>
          <w:rFonts w:ascii="Calibri" w:hAnsi="Calibri"/>
        </w:rPr>
        <w:t>is very different to guaranteeing</w:t>
      </w:r>
      <w:r w:rsidR="007A58C4" w:rsidRPr="006D4AB3">
        <w:rPr>
          <w:rFonts w:ascii="Calibri" w:hAnsi="Calibri"/>
        </w:rPr>
        <w:t xml:space="preserve"> the</w:t>
      </w:r>
      <w:r w:rsidR="00B839BA" w:rsidRPr="006D4AB3">
        <w:rPr>
          <w:rFonts w:ascii="Calibri" w:hAnsi="Calibri"/>
        </w:rPr>
        <w:t xml:space="preserve"> prote</w:t>
      </w:r>
      <w:r w:rsidR="00051C18" w:rsidRPr="006D4AB3">
        <w:rPr>
          <w:rFonts w:ascii="Calibri" w:hAnsi="Calibri"/>
        </w:rPr>
        <w:t>ction of rights. On that point,</w:t>
      </w:r>
      <w:r w:rsidR="00B839BA" w:rsidRPr="006D4AB3">
        <w:rPr>
          <w:rFonts w:ascii="Calibri" w:hAnsi="Calibri"/>
        </w:rPr>
        <w:t xml:space="preserve"> Lord Kerr</w:t>
      </w:r>
      <w:r w:rsidR="00051C18" w:rsidRPr="006D4AB3">
        <w:rPr>
          <w:rFonts w:ascii="Calibri" w:hAnsi="Calibri"/>
        </w:rPr>
        <w:t>, Supreme Court Judge,</w:t>
      </w:r>
      <w:r w:rsidR="00B839BA" w:rsidRPr="006D4AB3">
        <w:rPr>
          <w:rFonts w:ascii="Calibri" w:hAnsi="Calibri"/>
        </w:rPr>
        <w:t xml:space="preserve"> noted </w:t>
      </w:r>
      <w:r w:rsidR="00B839BA" w:rsidRPr="006D4AB3">
        <w:rPr>
          <w:rFonts w:ascii="Calibri" w:hAnsi="Calibri"/>
          <w:i/>
        </w:rPr>
        <w:t>‘If the government commits itself to a standard of human rights protection, it seems to me entirely logical that it should be held to account in the courts as to its actual compliance with that standard.’</w:t>
      </w:r>
      <w:r w:rsidR="00506EFF" w:rsidRPr="006D4AB3">
        <w:rPr>
          <w:rStyle w:val="EndnoteReference"/>
          <w:rFonts w:ascii="Calibri" w:hAnsi="Calibri"/>
          <w:i/>
        </w:rPr>
        <w:endnoteReference w:id="1"/>
      </w:r>
    </w:p>
    <w:p w14:paraId="69196BDC" w14:textId="77777777" w:rsidR="00051C18" w:rsidRPr="006D4AB3" w:rsidRDefault="00051C18" w:rsidP="002C063F">
      <w:pPr>
        <w:rPr>
          <w:rFonts w:ascii="Calibri" w:hAnsi="Calibri"/>
        </w:rPr>
      </w:pPr>
      <w:r w:rsidRPr="006D4AB3">
        <w:rPr>
          <w:rFonts w:ascii="Calibri" w:hAnsi="Calibri"/>
        </w:rPr>
        <w:t>Specifically on the right to food, UK law and policy is disparate and incoherent</w:t>
      </w:r>
      <w:proofErr w:type="gramStart"/>
      <w:r w:rsidRPr="006D4AB3">
        <w:rPr>
          <w:rFonts w:ascii="Calibri" w:hAnsi="Calibri"/>
        </w:rPr>
        <w:t>;</w:t>
      </w:r>
      <w:proofErr w:type="gramEnd"/>
      <w:r w:rsidRPr="006D4AB3">
        <w:rPr>
          <w:rFonts w:ascii="Calibri" w:hAnsi="Calibri"/>
        </w:rPr>
        <w:t xml:space="preserve"> fragmented between decision-making portfolios on agriculture, environment, health, employment and social security. There is no strategic direction or framework for progressively realising the right to food, and no monitoring of household food insecurity by minimum core content to ensure the immediate right to be free from hunger is protected.</w:t>
      </w:r>
    </w:p>
    <w:p w14:paraId="0F4BCFEF" w14:textId="77777777" w:rsidR="00506EFF" w:rsidRPr="006D4AB3" w:rsidRDefault="00506EFF" w:rsidP="002C063F">
      <w:pPr>
        <w:rPr>
          <w:rFonts w:ascii="Calibri" w:hAnsi="Calibri"/>
        </w:rPr>
      </w:pPr>
    </w:p>
    <w:p w14:paraId="6A74C4B6" w14:textId="77777777" w:rsidR="00506EFF" w:rsidRPr="006D4AB3" w:rsidRDefault="00506EFF" w:rsidP="009D2D77">
      <w:pPr>
        <w:ind w:left="2880" w:hanging="2880"/>
        <w:rPr>
          <w:rFonts w:ascii="Calibri" w:hAnsi="Calibri"/>
        </w:rPr>
      </w:pPr>
      <w:r w:rsidRPr="006D4AB3">
        <w:rPr>
          <w:rFonts w:ascii="Calibri" w:hAnsi="Calibri"/>
          <w:b/>
        </w:rPr>
        <w:t xml:space="preserve">Recommendation 1: </w:t>
      </w:r>
      <w:r w:rsidRPr="006D4AB3">
        <w:rPr>
          <w:rFonts w:ascii="Calibri" w:hAnsi="Calibri"/>
          <w:b/>
        </w:rPr>
        <w:tab/>
      </w:r>
      <w:r w:rsidR="009D2D77" w:rsidRPr="006D4AB3">
        <w:rPr>
          <w:rFonts w:ascii="Calibri" w:hAnsi="Calibri"/>
        </w:rPr>
        <w:t>Incorporate the Covenant into domestic law and</w:t>
      </w:r>
      <w:r w:rsidRPr="006D4AB3">
        <w:rPr>
          <w:rFonts w:ascii="Calibri" w:hAnsi="Calibri"/>
        </w:rPr>
        <w:t xml:space="preserve"> use this as a framework for ensuring the protection of an adequate standard of living including the right to food. </w:t>
      </w:r>
    </w:p>
    <w:p w14:paraId="1CAB5F7F" w14:textId="1C360552" w:rsidR="00506EFF" w:rsidRPr="006D4AB3" w:rsidRDefault="00506EFF" w:rsidP="009D2D77">
      <w:pPr>
        <w:ind w:left="2880" w:hanging="2880"/>
        <w:rPr>
          <w:rFonts w:ascii="Calibri" w:hAnsi="Calibri"/>
        </w:rPr>
      </w:pPr>
      <w:r w:rsidRPr="006D4AB3">
        <w:rPr>
          <w:rFonts w:ascii="Calibri" w:hAnsi="Calibri"/>
          <w:b/>
        </w:rPr>
        <w:t>Recommendation 2:</w:t>
      </w:r>
      <w:r w:rsidRPr="006D4AB3">
        <w:rPr>
          <w:rFonts w:ascii="Calibri" w:hAnsi="Calibri"/>
        </w:rPr>
        <w:tab/>
        <w:t xml:space="preserve">Develop legislation specifically to bring </w:t>
      </w:r>
      <w:r w:rsidR="002B10FC">
        <w:rPr>
          <w:rFonts w:ascii="Calibri" w:hAnsi="Calibri"/>
        </w:rPr>
        <w:t xml:space="preserve">policy </w:t>
      </w:r>
      <w:r w:rsidRPr="006D4AB3">
        <w:rPr>
          <w:rFonts w:ascii="Calibri" w:hAnsi="Calibri"/>
        </w:rPr>
        <w:t xml:space="preserve">coherence across the food system on access, adequacy and availability. Integrate disaggregated monitoring within existing monitoring frameworks, and establish a statutory independent Food Commission to </w:t>
      </w:r>
      <w:r w:rsidR="00051C18" w:rsidRPr="006D4AB3">
        <w:rPr>
          <w:rFonts w:ascii="Calibri" w:hAnsi="Calibri"/>
        </w:rPr>
        <w:t xml:space="preserve">oversee progressive realisation towards the right to food, including compliance with statutory targets, and to report annually to </w:t>
      </w:r>
      <w:r w:rsidRPr="006D4AB3">
        <w:rPr>
          <w:rFonts w:ascii="Calibri" w:hAnsi="Calibri"/>
        </w:rPr>
        <w:t>Parliament on progress.</w:t>
      </w:r>
    </w:p>
    <w:p w14:paraId="757B5BC2" w14:textId="77777777" w:rsidR="00506EFF" w:rsidRPr="006D4AB3" w:rsidRDefault="00506EFF" w:rsidP="009D2D77">
      <w:pPr>
        <w:rPr>
          <w:rFonts w:ascii="Calibri" w:hAnsi="Calibri"/>
          <w:b/>
          <w:sz w:val="28"/>
          <w:szCs w:val="28"/>
        </w:rPr>
      </w:pPr>
      <w:r w:rsidRPr="006D4AB3">
        <w:rPr>
          <w:rFonts w:ascii="Calibri" w:hAnsi="Calibri"/>
          <w:b/>
          <w:sz w:val="28"/>
          <w:szCs w:val="28"/>
        </w:rPr>
        <w:br w:type="page"/>
      </w:r>
      <w:r w:rsidRPr="006D4AB3">
        <w:rPr>
          <w:rFonts w:ascii="Calibri" w:hAnsi="Calibri"/>
          <w:b/>
          <w:sz w:val="28"/>
          <w:szCs w:val="28"/>
        </w:rPr>
        <w:lastRenderedPageBreak/>
        <w:t>Part 2:</w:t>
      </w:r>
      <w:r w:rsidRPr="006D4AB3">
        <w:rPr>
          <w:rFonts w:ascii="Calibri" w:hAnsi="Calibri"/>
          <w:b/>
          <w:sz w:val="28"/>
          <w:szCs w:val="28"/>
        </w:rPr>
        <w:tab/>
        <w:t>An overview of the Right to Food in UK, focusing on Scotland</w:t>
      </w:r>
    </w:p>
    <w:p w14:paraId="64DFDB69" w14:textId="75EBA962" w:rsidR="00506EFF" w:rsidRPr="005F01A1" w:rsidRDefault="005F01A1" w:rsidP="005F01A1">
      <w:pPr>
        <w:rPr>
          <w:rFonts w:ascii="Calibri" w:hAnsi="Calibri"/>
        </w:rPr>
      </w:pPr>
      <w:r w:rsidRPr="006D4AB3">
        <w:rPr>
          <w:rFonts w:ascii="Calibri" w:hAnsi="Calibri"/>
          <w:b/>
          <w:noProof/>
          <w:color w:val="FF0000"/>
          <w:sz w:val="32"/>
          <w:lang w:val="en-US"/>
        </w:rPr>
        <mc:AlternateContent>
          <mc:Choice Requires="wps">
            <w:drawing>
              <wp:anchor distT="0" distB="0" distL="114300" distR="114300" simplePos="0" relativeHeight="251658752" behindDoc="0" locked="0" layoutInCell="1" allowOverlap="1" wp14:anchorId="6550AC33" wp14:editId="3746D00C">
                <wp:simplePos x="0" y="0"/>
                <wp:positionH relativeFrom="leftMargin">
                  <wp:posOffset>540385</wp:posOffset>
                </wp:positionH>
                <wp:positionV relativeFrom="paragraph">
                  <wp:posOffset>1060566</wp:posOffset>
                </wp:positionV>
                <wp:extent cx="0" cy="754380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0" cy="7543800"/>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8CA125"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5pt,83.5pt" to="42.5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" strokecolor="red" strokeweight="2pt">
                <v:stroke dashstyle="dash" joinstyle="miter"/>
                <w10:wrap anchorx="margin"/>
              </v:line>
            </w:pict>
          </mc:Fallback>
        </mc:AlternateContent>
      </w:r>
      <w:r w:rsidR="00FE5112" w:rsidRPr="006D4AB3">
        <w:rPr>
          <w:rFonts w:ascii="Calibri" w:hAnsi="Calibri"/>
        </w:rPr>
        <w:t>Here we consider the UK’s performance across various aspects of the right to food, including regression on financial accessibility having a discriminatory impact – as raised in Concern 4 of our Pre-Sessional evidence.</w:t>
      </w:r>
      <w:r w:rsidR="00506EFF" w:rsidRPr="006D4AB3">
        <w:rPr>
          <w:rFonts w:ascii="Calibri" w:hAnsi="Calibri"/>
        </w:rPr>
        <w:t xml:space="preserve"> For interpretative </w:t>
      </w:r>
      <w:r w:rsidR="00506EFF" w:rsidRPr="00E532C2">
        <w:rPr>
          <w:rFonts w:ascii="Calibri" w:hAnsi="Calibri"/>
        </w:rPr>
        <w:t>ease</w:t>
      </w:r>
      <w:r w:rsidR="00FE5112" w:rsidRPr="00E532C2">
        <w:rPr>
          <w:rFonts w:ascii="Calibri" w:hAnsi="Calibri"/>
        </w:rPr>
        <w:t xml:space="preserve"> the analysis is organised in to</w:t>
      </w:r>
      <w:r w:rsidR="00506EFF" w:rsidRPr="00E532C2">
        <w:rPr>
          <w:rFonts w:ascii="Calibri" w:hAnsi="Calibri"/>
        </w:rPr>
        <w:t xml:space="preserve"> the three pillars of </w:t>
      </w:r>
      <w:r w:rsidR="00506EFF" w:rsidRPr="00E532C2">
        <w:rPr>
          <w:rFonts w:ascii="Calibri" w:hAnsi="Calibri"/>
          <w:color w:val="FF0000"/>
        </w:rPr>
        <w:t>accessible</w:t>
      </w:r>
      <w:r w:rsidR="00506EFF" w:rsidRPr="00E532C2">
        <w:rPr>
          <w:rFonts w:ascii="Calibri" w:hAnsi="Calibri"/>
        </w:rPr>
        <w:t xml:space="preserve">, </w:t>
      </w:r>
      <w:r w:rsidR="00506EFF" w:rsidRPr="00E532C2">
        <w:rPr>
          <w:rFonts w:ascii="Calibri" w:hAnsi="Calibri"/>
          <w:color w:val="863AB8"/>
        </w:rPr>
        <w:t>adequate</w:t>
      </w:r>
      <w:r w:rsidR="00506EFF" w:rsidRPr="00E532C2">
        <w:rPr>
          <w:rFonts w:ascii="Calibri" w:hAnsi="Calibri"/>
        </w:rPr>
        <w:t xml:space="preserve">, and </w:t>
      </w:r>
      <w:r w:rsidR="00506EFF" w:rsidRPr="00E532C2">
        <w:rPr>
          <w:rFonts w:ascii="Calibri" w:hAnsi="Calibri"/>
          <w:color w:val="70AD47" w:themeColor="accent6"/>
        </w:rPr>
        <w:t>available</w:t>
      </w:r>
      <w:r w:rsidR="005C0F44" w:rsidRPr="00E532C2">
        <w:rPr>
          <w:rFonts w:ascii="Calibri" w:hAnsi="Calibri"/>
        </w:rPr>
        <w:t xml:space="preserve"> demarked by a dashed line</w:t>
      </w:r>
      <w:r w:rsidR="00506EFF" w:rsidRPr="00E532C2">
        <w:rPr>
          <w:rFonts w:ascii="Calibri" w:hAnsi="Calibri"/>
        </w:rPr>
        <w:t>.</w:t>
      </w:r>
      <w:r w:rsidR="00506EFF" w:rsidRPr="006D4AB3">
        <w:rPr>
          <w:rFonts w:ascii="Calibri" w:hAnsi="Calibri"/>
        </w:rPr>
        <w:t xml:space="preserve"> Where we are providing a </w:t>
      </w:r>
      <w:r w:rsidR="00506EFF" w:rsidRPr="00877FE4">
        <w:rPr>
          <w:rFonts w:ascii="Calibri" w:hAnsi="Calibri"/>
          <w:color w:val="3366FF"/>
        </w:rPr>
        <w:t>Scotland-specific analysis the text appears in blue.</w:t>
      </w:r>
      <w:r>
        <w:rPr>
          <w:rFonts w:ascii="Calibri" w:hAnsi="Calibri"/>
        </w:rPr>
        <w:br/>
      </w:r>
      <w:r w:rsidR="00943AB5">
        <w:rPr>
          <w:rFonts w:ascii="Calibri" w:hAnsi="Calibri"/>
          <w:b/>
          <w:color w:val="FF0000"/>
          <w:sz w:val="32"/>
        </w:rPr>
        <w:br/>
      </w:r>
      <w:r>
        <w:rPr>
          <w:rFonts w:ascii="Calibri" w:hAnsi="Calibri"/>
          <w:b/>
          <w:color w:val="FF0000"/>
          <w:sz w:val="32"/>
        </w:rPr>
        <w:t xml:space="preserve"> </w:t>
      </w:r>
      <w:r>
        <w:rPr>
          <w:rFonts w:ascii="Calibri" w:hAnsi="Calibri"/>
          <w:b/>
          <w:color w:val="FF0000"/>
          <w:sz w:val="32"/>
        </w:rPr>
        <w:tab/>
      </w:r>
      <w:r w:rsidR="00506EFF" w:rsidRPr="006D4AB3">
        <w:rPr>
          <w:rFonts w:ascii="Calibri" w:hAnsi="Calibri"/>
          <w:b/>
          <w:color w:val="FF0000"/>
          <w:sz w:val="32"/>
        </w:rPr>
        <w:t>Accessible:</w:t>
      </w:r>
      <w:r w:rsidR="00506EFF" w:rsidRPr="006D4AB3">
        <w:rPr>
          <w:rFonts w:ascii="Calibri" w:hAnsi="Calibri"/>
          <w:b/>
          <w:color w:val="FF0000"/>
          <w:sz w:val="32"/>
        </w:rPr>
        <w:tab/>
      </w:r>
      <w:r w:rsidR="003F07F8" w:rsidRPr="006D4AB3">
        <w:rPr>
          <w:rFonts w:ascii="Calibri" w:hAnsi="Calibri"/>
          <w:b/>
          <w:color w:val="FF0000"/>
          <w:sz w:val="32"/>
        </w:rPr>
        <w:tab/>
      </w:r>
      <w:r w:rsidR="00506EFF" w:rsidRPr="006D4AB3">
        <w:rPr>
          <w:rFonts w:ascii="Calibri" w:hAnsi="Calibri"/>
          <w:b/>
          <w:color w:val="FF0000"/>
          <w:sz w:val="32"/>
        </w:rPr>
        <w:t>Financially</w:t>
      </w:r>
    </w:p>
    <w:p w14:paraId="37591DEF" w14:textId="69DDFBE7" w:rsidR="00124A46" w:rsidRDefault="00506EFF" w:rsidP="0065383A">
      <w:pPr>
        <w:ind w:left="720"/>
        <w:rPr>
          <w:rFonts w:ascii="Calibri" w:hAnsi="Calibri"/>
        </w:rPr>
      </w:pPr>
      <w:r w:rsidRPr="006D4AB3">
        <w:rPr>
          <w:rFonts w:ascii="Calibri" w:hAnsi="Calibri"/>
        </w:rPr>
        <w:t xml:space="preserve">The UK has a high level of income </w:t>
      </w:r>
      <w:r w:rsidR="00461392" w:rsidRPr="006D4AB3">
        <w:rPr>
          <w:rFonts w:ascii="Calibri" w:hAnsi="Calibri"/>
        </w:rPr>
        <w:t>inequality that</w:t>
      </w:r>
      <w:r w:rsidRPr="006D4AB3">
        <w:rPr>
          <w:rFonts w:ascii="Calibri" w:hAnsi="Calibri"/>
        </w:rPr>
        <w:t xml:space="preserve"> is predicted to increase further as a direct consequence of the UK Government’s </w:t>
      </w:r>
      <w:r w:rsidRPr="006D4AB3">
        <w:rPr>
          <w:rFonts w:ascii="Calibri" w:hAnsi="Calibri"/>
          <w:b/>
        </w:rPr>
        <w:t>austerity reforms disproportionately impacting on people with the lowest incomes</w:t>
      </w:r>
      <w:r w:rsidRPr="006D4AB3">
        <w:rPr>
          <w:rFonts w:ascii="Calibri" w:hAnsi="Calibri"/>
        </w:rPr>
        <w:t>.</w:t>
      </w:r>
      <w:r w:rsidRPr="006D4AB3">
        <w:rPr>
          <w:rStyle w:val="EndnoteReference"/>
          <w:rFonts w:ascii="Calibri" w:hAnsi="Calibri"/>
        </w:rPr>
        <w:endnoteReference w:id="2"/>
      </w:r>
      <w:r w:rsidRPr="006D4AB3">
        <w:rPr>
          <w:rFonts w:ascii="Calibri" w:hAnsi="Calibri"/>
        </w:rPr>
        <w:t xml:space="preserve"> In the period since the Committee last reviewed the UK’s performance,</w:t>
      </w:r>
      <w:r w:rsidR="00124A46">
        <w:rPr>
          <w:rFonts w:ascii="Calibri" w:hAnsi="Calibri"/>
        </w:rPr>
        <w:t xml:space="preserve"> the net income of the poorest fifth of people in the UK has fallen by 6%. </w:t>
      </w:r>
      <w:r w:rsidRPr="00124A46">
        <w:rPr>
          <w:rFonts w:ascii="Calibri" w:hAnsi="Calibri"/>
          <w:b/>
        </w:rPr>
        <w:t>The reforms implemented since May 2015 are anticipated to</w:t>
      </w:r>
      <w:r w:rsidR="00124A46" w:rsidRPr="00124A46">
        <w:rPr>
          <w:rFonts w:ascii="Calibri" w:hAnsi="Calibri"/>
          <w:b/>
        </w:rPr>
        <w:t xml:space="preserve"> further</w:t>
      </w:r>
      <w:r w:rsidRPr="00124A46">
        <w:rPr>
          <w:rFonts w:ascii="Calibri" w:hAnsi="Calibri"/>
          <w:b/>
        </w:rPr>
        <w:t xml:space="preserve"> reduce </w:t>
      </w:r>
      <w:r w:rsidR="00124A46">
        <w:rPr>
          <w:rFonts w:ascii="Calibri" w:hAnsi="Calibri"/>
          <w:b/>
        </w:rPr>
        <w:t xml:space="preserve">the incomes of the poorest fifth by </w:t>
      </w:r>
      <w:r w:rsidRPr="00124A46">
        <w:rPr>
          <w:rFonts w:ascii="Calibri" w:hAnsi="Calibri"/>
          <w:b/>
        </w:rPr>
        <w:t xml:space="preserve">12% </w:t>
      </w:r>
      <w:r w:rsidR="00124A46">
        <w:rPr>
          <w:rFonts w:ascii="Calibri" w:hAnsi="Calibri"/>
          <w:b/>
        </w:rPr>
        <w:t>by 2019</w:t>
      </w:r>
      <w:r w:rsidRPr="006D4AB3">
        <w:rPr>
          <w:rFonts w:ascii="Calibri" w:hAnsi="Calibri"/>
        </w:rPr>
        <w:t xml:space="preserve">, whilst the wealthiest </w:t>
      </w:r>
      <w:r w:rsidR="005F01A1">
        <w:rPr>
          <w:rFonts w:ascii="Calibri" w:hAnsi="Calibri"/>
        </w:rPr>
        <w:t>will see</w:t>
      </w:r>
      <w:r w:rsidRPr="006D4AB3">
        <w:rPr>
          <w:rFonts w:ascii="Calibri" w:hAnsi="Calibri"/>
        </w:rPr>
        <w:t xml:space="preserve"> less than a 1% reduction on average.</w:t>
      </w:r>
      <w:r w:rsidRPr="006D4AB3">
        <w:rPr>
          <w:rStyle w:val="EndnoteReference"/>
          <w:rFonts w:ascii="Calibri" w:hAnsi="Calibri"/>
        </w:rPr>
        <w:endnoteReference w:id="3"/>
      </w:r>
      <w:r w:rsidRPr="006D4AB3">
        <w:rPr>
          <w:rFonts w:ascii="Calibri" w:hAnsi="Calibri"/>
        </w:rPr>
        <w:t xml:space="preserve"> </w:t>
      </w:r>
    </w:p>
    <w:p w14:paraId="14D6332A" w14:textId="41D206FA" w:rsidR="00506EFF" w:rsidRPr="006D4AB3" w:rsidRDefault="005F01A1" w:rsidP="0065383A">
      <w:pPr>
        <w:ind w:left="720"/>
        <w:rPr>
          <w:rFonts w:ascii="Calibri" w:hAnsi="Calibri"/>
        </w:rPr>
      </w:pPr>
      <w:r>
        <w:rPr>
          <w:rFonts w:ascii="Calibri" w:hAnsi="Calibri"/>
        </w:rPr>
        <w:t>The</w:t>
      </w:r>
      <w:r w:rsidR="00193486">
        <w:rPr>
          <w:rFonts w:ascii="Calibri" w:hAnsi="Calibri"/>
        </w:rPr>
        <w:t xml:space="preserve"> cost of living has</w:t>
      </w:r>
      <w:r>
        <w:rPr>
          <w:rFonts w:ascii="Calibri" w:hAnsi="Calibri"/>
        </w:rPr>
        <w:t xml:space="preserve"> considerabl</w:t>
      </w:r>
      <w:r w:rsidR="00193486">
        <w:rPr>
          <w:rFonts w:ascii="Calibri" w:hAnsi="Calibri"/>
        </w:rPr>
        <w:t>y</w:t>
      </w:r>
      <w:r>
        <w:rPr>
          <w:rFonts w:ascii="Calibri" w:hAnsi="Calibri"/>
        </w:rPr>
        <w:t xml:space="preserve"> increase</w:t>
      </w:r>
      <w:r w:rsidR="00193486">
        <w:rPr>
          <w:rFonts w:ascii="Calibri" w:hAnsi="Calibri"/>
        </w:rPr>
        <w:t>d</w:t>
      </w:r>
      <w:r>
        <w:rPr>
          <w:rFonts w:ascii="Calibri" w:hAnsi="Calibri"/>
        </w:rPr>
        <w:t xml:space="preserve"> over this period</w:t>
      </w:r>
      <w:r w:rsidR="00193486">
        <w:rPr>
          <w:rFonts w:ascii="Calibri" w:hAnsi="Calibri"/>
        </w:rPr>
        <w:t xml:space="preserve"> by </w:t>
      </w:r>
      <w:r w:rsidR="00193486" w:rsidRPr="00A55C9F">
        <w:rPr>
          <w:rFonts w:ascii="Calibri" w:hAnsi="Calibri"/>
          <w:b/>
        </w:rPr>
        <w:t>30%</w:t>
      </w:r>
      <w:r w:rsidR="00994225">
        <w:rPr>
          <w:rFonts w:ascii="Calibri" w:hAnsi="Calibri"/>
          <w:b/>
        </w:rPr>
        <w:t xml:space="preserve"> on average</w:t>
      </w:r>
      <w:r w:rsidR="00193486" w:rsidRPr="00A55C9F">
        <w:rPr>
          <w:rFonts w:ascii="Calibri" w:hAnsi="Calibri"/>
          <w:b/>
        </w:rPr>
        <w:t xml:space="preserve"> across essentials</w:t>
      </w:r>
      <w:r w:rsidR="00B030CA">
        <w:rPr>
          <w:rFonts w:ascii="Calibri" w:hAnsi="Calibri"/>
          <w:b/>
        </w:rPr>
        <w:t xml:space="preserve"> including </w:t>
      </w:r>
      <w:r w:rsidR="00B030CA" w:rsidRPr="003939A2">
        <w:rPr>
          <w:rFonts w:ascii="Calibri" w:hAnsi="Calibri"/>
          <w:b/>
        </w:rPr>
        <w:t>food.</w:t>
      </w:r>
      <w:r w:rsidR="00193486" w:rsidRPr="003939A2">
        <w:rPr>
          <w:rStyle w:val="EndnoteReference"/>
          <w:rFonts w:ascii="Calibri" w:hAnsi="Calibri"/>
        </w:rPr>
        <w:endnoteReference w:id="4"/>
      </w:r>
      <w:r w:rsidR="006F5315" w:rsidRPr="003939A2">
        <w:rPr>
          <w:rFonts w:ascii="Calibri" w:hAnsi="Calibri"/>
        </w:rPr>
        <w:t xml:space="preserve"> </w:t>
      </w:r>
      <w:r w:rsidR="00940C02" w:rsidRPr="003939A2">
        <w:rPr>
          <w:rFonts w:ascii="Calibri" w:hAnsi="Calibri"/>
        </w:rPr>
        <w:t xml:space="preserve">People </w:t>
      </w:r>
      <w:r w:rsidRPr="003939A2">
        <w:rPr>
          <w:rFonts w:ascii="Calibri" w:hAnsi="Calibri"/>
        </w:rPr>
        <w:t>with</w:t>
      </w:r>
      <w:r>
        <w:rPr>
          <w:rFonts w:ascii="Calibri" w:hAnsi="Calibri"/>
        </w:rPr>
        <w:t xml:space="preserve"> low income</w:t>
      </w:r>
      <w:r w:rsidR="00940C02" w:rsidRPr="00940C02">
        <w:rPr>
          <w:rFonts w:ascii="Calibri" w:hAnsi="Calibri"/>
        </w:rPr>
        <w:t xml:space="preserve"> </w:t>
      </w:r>
      <w:r w:rsidR="00940C02">
        <w:rPr>
          <w:rFonts w:ascii="Calibri" w:hAnsi="Calibri"/>
        </w:rPr>
        <w:t>spend more for less across essential goods and services because they are unable to benefit from economies of scale. This is often r</w:t>
      </w:r>
      <w:r w:rsidR="00940C02" w:rsidRPr="00940C02">
        <w:rPr>
          <w:rFonts w:ascii="Calibri" w:hAnsi="Calibri"/>
        </w:rPr>
        <w:t>eferred to as the poverty premium</w:t>
      </w:r>
      <w:r w:rsidR="00940C02">
        <w:rPr>
          <w:rFonts w:ascii="Calibri" w:hAnsi="Calibri"/>
        </w:rPr>
        <w:t xml:space="preserve"> and </w:t>
      </w:r>
      <w:r w:rsidR="00DB1D16" w:rsidRPr="00DB1D16">
        <w:rPr>
          <w:rFonts w:ascii="Calibri" w:hAnsi="Calibri"/>
          <w:color w:val="0070C0"/>
        </w:rPr>
        <w:t>i</w:t>
      </w:r>
      <w:r w:rsidR="00940C02" w:rsidRPr="00DB1D16">
        <w:rPr>
          <w:rFonts w:ascii="Calibri" w:hAnsi="Calibri"/>
          <w:color w:val="0070C0"/>
        </w:rPr>
        <w:t>n</w:t>
      </w:r>
      <w:r w:rsidR="00DB1D16" w:rsidRPr="00DB1D16">
        <w:rPr>
          <w:rFonts w:ascii="Calibri" w:hAnsi="Calibri"/>
          <w:color w:val="0070C0"/>
        </w:rPr>
        <w:t xml:space="preserve"> Scotland is estimated to be an additional average</w:t>
      </w:r>
      <w:r w:rsidR="00DB1D16">
        <w:rPr>
          <w:rFonts w:ascii="Calibri" w:hAnsi="Calibri"/>
          <w:color w:val="0070C0"/>
        </w:rPr>
        <w:t xml:space="preserve"> annual</w:t>
      </w:r>
      <w:r w:rsidR="00DB1D16" w:rsidRPr="00DB1D16">
        <w:rPr>
          <w:rFonts w:ascii="Calibri" w:hAnsi="Calibri"/>
          <w:color w:val="0070C0"/>
        </w:rPr>
        <w:t xml:space="preserve"> sum of </w:t>
      </w:r>
      <w:r w:rsidR="00DB1D16">
        <w:rPr>
          <w:rFonts w:ascii="Calibri" w:hAnsi="Calibri"/>
          <w:color w:val="0070C0"/>
        </w:rPr>
        <w:t>£1280</w:t>
      </w:r>
      <w:r w:rsidR="00DB1D16" w:rsidRPr="00DB1D16">
        <w:rPr>
          <w:rFonts w:ascii="Calibri" w:hAnsi="Calibri"/>
          <w:color w:val="0070C0"/>
        </w:rPr>
        <w:t>, largely accrued due to fuel costs</w:t>
      </w:r>
      <w:r w:rsidR="00DB1D16">
        <w:rPr>
          <w:rFonts w:ascii="Calibri" w:hAnsi="Calibri"/>
        </w:rPr>
        <w:t>.</w:t>
      </w:r>
      <w:r w:rsidR="00DB1D16">
        <w:rPr>
          <w:rStyle w:val="EndnoteReference"/>
          <w:rFonts w:ascii="Calibri" w:hAnsi="Calibri"/>
        </w:rPr>
        <w:endnoteReference w:id="5"/>
      </w:r>
      <w:r w:rsidR="00E7029B">
        <w:rPr>
          <w:rFonts w:ascii="Calibri" w:hAnsi="Calibri"/>
        </w:rPr>
        <w:t xml:space="preserve"> People with low incomes spend much less in absolute terms on food, but </w:t>
      </w:r>
      <w:r w:rsidR="00E7029B" w:rsidRPr="00E7029B">
        <w:rPr>
          <w:rFonts w:ascii="Calibri" w:hAnsi="Calibri"/>
          <w:b/>
        </w:rPr>
        <w:t>food comprises a higher proportion of total expenditure at about 23% of income</w:t>
      </w:r>
      <w:r w:rsidR="00E7029B">
        <w:rPr>
          <w:rFonts w:ascii="Calibri" w:hAnsi="Calibri"/>
        </w:rPr>
        <w:t xml:space="preserve"> compared to the national average of 11%.</w:t>
      </w:r>
      <w:r w:rsidR="00E7029B">
        <w:rPr>
          <w:rStyle w:val="EndnoteReference"/>
          <w:rFonts w:ascii="Calibri" w:hAnsi="Calibri"/>
        </w:rPr>
        <w:endnoteReference w:id="6"/>
      </w:r>
    </w:p>
    <w:p w14:paraId="5016C947" w14:textId="7E612620" w:rsidR="00506EFF" w:rsidRPr="006D4AB3" w:rsidRDefault="005F01A1" w:rsidP="007E4580">
      <w:pPr>
        <w:ind w:left="720"/>
        <w:rPr>
          <w:rFonts w:ascii="Calibri" w:hAnsi="Calibri"/>
        </w:rPr>
      </w:pPr>
      <w:r>
        <w:rPr>
          <w:rFonts w:ascii="Calibri" w:hAnsi="Calibri"/>
        </w:rPr>
        <w:t>Decreasing income and increasing costs ha</w:t>
      </w:r>
      <w:r w:rsidR="0070403E">
        <w:rPr>
          <w:rFonts w:ascii="Calibri" w:hAnsi="Calibri"/>
        </w:rPr>
        <w:t>ve</w:t>
      </w:r>
      <w:r w:rsidR="00295549">
        <w:rPr>
          <w:rFonts w:ascii="Calibri" w:hAnsi="Calibri"/>
        </w:rPr>
        <w:t xml:space="preserve"> resulted in </w:t>
      </w:r>
      <w:r w:rsidR="0070403E">
        <w:rPr>
          <w:rFonts w:ascii="Calibri" w:hAnsi="Calibri"/>
        </w:rPr>
        <w:t>more</w:t>
      </w:r>
      <w:r>
        <w:rPr>
          <w:rFonts w:ascii="Calibri" w:hAnsi="Calibri"/>
        </w:rPr>
        <w:t xml:space="preserve"> people experiencing financial hardship and </w:t>
      </w:r>
      <w:r w:rsidR="0070403E">
        <w:rPr>
          <w:rFonts w:ascii="Calibri" w:hAnsi="Calibri"/>
        </w:rPr>
        <w:t xml:space="preserve">consequent </w:t>
      </w:r>
      <w:r>
        <w:rPr>
          <w:rFonts w:ascii="Calibri" w:hAnsi="Calibri"/>
        </w:rPr>
        <w:t xml:space="preserve">food insecurity. </w:t>
      </w:r>
      <w:r w:rsidR="00506EFF" w:rsidRPr="005F01A1">
        <w:rPr>
          <w:rFonts w:ascii="Calibri" w:hAnsi="Calibri"/>
          <w:b/>
        </w:rPr>
        <w:t xml:space="preserve">There is no </w:t>
      </w:r>
      <w:r w:rsidRPr="005F01A1">
        <w:rPr>
          <w:rFonts w:ascii="Calibri" w:hAnsi="Calibri"/>
          <w:b/>
        </w:rPr>
        <w:t xml:space="preserve">official </w:t>
      </w:r>
      <w:r w:rsidR="00506EFF" w:rsidRPr="005F01A1">
        <w:rPr>
          <w:rFonts w:ascii="Calibri" w:hAnsi="Calibri"/>
          <w:b/>
        </w:rPr>
        <w:t>monitoring of food insecurity</w:t>
      </w:r>
      <w:r w:rsidR="00506EFF" w:rsidRPr="006D4AB3">
        <w:rPr>
          <w:rFonts w:ascii="Calibri" w:hAnsi="Calibri"/>
        </w:rPr>
        <w:t xml:space="preserve"> in</w:t>
      </w:r>
      <w:r>
        <w:rPr>
          <w:rFonts w:ascii="Calibri" w:hAnsi="Calibri"/>
        </w:rPr>
        <w:t xml:space="preserve"> the UK. </w:t>
      </w:r>
      <w:r w:rsidR="002E7A4F" w:rsidRPr="006D4AB3">
        <w:rPr>
          <w:rFonts w:ascii="Calibri" w:hAnsi="Calibri"/>
        </w:rPr>
        <w:t xml:space="preserve">One food bank provider, </w:t>
      </w:r>
      <w:r w:rsidR="00506EFF" w:rsidRPr="006D4AB3">
        <w:rPr>
          <w:rFonts w:ascii="Calibri" w:hAnsi="Calibri"/>
        </w:rPr>
        <w:t>the Trussell Trus</w:t>
      </w:r>
      <w:r w:rsidR="002E7A4F" w:rsidRPr="006D4AB3">
        <w:rPr>
          <w:rFonts w:ascii="Calibri" w:hAnsi="Calibri"/>
        </w:rPr>
        <w:t>t,</w:t>
      </w:r>
      <w:r w:rsidR="00506EFF" w:rsidRPr="006D4AB3">
        <w:rPr>
          <w:rFonts w:ascii="Calibri" w:hAnsi="Calibri"/>
        </w:rPr>
        <w:t xml:space="preserve"> gave out </w:t>
      </w:r>
      <w:r w:rsidR="002E7A4F" w:rsidRPr="006D4AB3">
        <w:rPr>
          <w:rFonts w:ascii="Calibri" w:hAnsi="Calibri"/>
          <w:b/>
        </w:rPr>
        <w:t>1,109,309</w:t>
      </w:r>
      <w:r w:rsidR="00506EFF" w:rsidRPr="006D4AB3">
        <w:rPr>
          <w:rFonts w:ascii="Calibri" w:hAnsi="Calibri"/>
          <w:b/>
        </w:rPr>
        <w:t xml:space="preserve"> </w:t>
      </w:r>
      <w:r w:rsidR="008B5893" w:rsidRPr="006D4AB3">
        <w:rPr>
          <w:rFonts w:ascii="Calibri" w:hAnsi="Calibri"/>
          <w:b/>
        </w:rPr>
        <w:t>3-day</w:t>
      </w:r>
      <w:r w:rsidR="00506EFF" w:rsidRPr="006D4AB3">
        <w:rPr>
          <w:rFonts w:ascii="Calibri" w:hAnsi="Calibri"/>
          <w:b/>
        </w:rPr>
        <w:t xml:space="preserve"> food parcels</w:t>
      </w:r>
      <w:r w:rsidR="00506EFF" w:rsidRPr="006D4AB3">
        <w:rPr>
          <w:rFonts w:ascii="Calibri" w:hAnsi="Calibri"/>
        </w:rPr>
        <w:t xml:space="preserve">, </w:t>
      </w:r>
      <w:r w:rsidR="002E7A4F" w:rsidRPr="006D4AB3">
        <w:rPr>
          <w:rFonts w:ascii="Calibri" w:hAnsi="Calibri"/>
        </w:rPr>
        <w:t>415,866 of these for children in 2015/16. Benefit delay, low income, and benefit changes were the most frequently cited reasons</w:t>
      </w:r>
      <w:r w:rsidR="00506EFF" w:rsidRPr="006D4AB3">
        <w:rPr>
          <w:rFonts w:ascii="Calibri" w:hAnsi="Calibri"/>
        </w:rPr>
        <w:t>.</w:t>
      </w:r>
      <w:r w:rsidR="00506EFF" w:rsidRPr="006D4AB3">
        <w:rPr>
          <w:rStyle w:val="EndnoteReference"/>
          <w:rFonts w:ascii="Calibri" w:hAnsi="Calibri"/>
        </w:rPr>
        <w:endnoteReference w:id="7"/>
      </w:r>
      <w:r w:rsidR="00506EFF" w:rsidRPr="006D4AB3">
        <w:rPr>
          <w:rFonts w:ascii="Calibri" w:hAnsi="Calibri"/>
        </w:rPr>
        <w:t xml:space="preserve">  </w:t>
      </w:r>
      <w:r w:rsidR="007E4580">
        <w:rPr>
          <w:rFonts w:ascii="Calibri" w:hAnsi="Calibri"/>
        </w:rPr>
        <w:br/>
      </w:r>
      <w:r w:rsidR="00FD237F" w:rsidRPr="006D4AB3">
        <w:rPr>
          <w:rFonts w:ascii="Calibri" w:hAnsi="Calibri"/>
          <w:b/>
        </w:rPr>
        <w:br/>
      </w:r>
      <w:r w:rsidR="00FF2928">
        <w:rPr>
          <w:rFonts w:ascii="Calibri" w:hAnsi="Calibri"/>
          <w:b/>
        </w:rPr>
        <w:t xml:space="preserve">UK </w:t>
      </w:r>
      <w:r w:rsidR="00506EFF" w:rsidRPr="006D4AB3">
        <w:rPr>
          <w:rFonts w:ascii="Calibri" w:hAnsi="Calibri"/>
          <w:b/>
        </w:rPr>
        <w:t>Poverty Lines:</w:t>
      </w:r>
      <w:r w:rsidR="00506EFF" w:rsidRPr="006D4AB3">
        <w:rPr>
          <w:rStyle w:val="EndnoteReference"/>
          <w:rFonts w:ascii="Calibri" w:hAnsi="Calibri"/>
          <w:b/>
        </w:rPr>
        <w:endnoteReference w:id="8"/>
      </w:r>
    </w:p>
    <w:p w14:paraId="15348CD3" w14:textId="77777777" w:rsidR="009D2D77" w:rsidRPr="006D4AB3" w:rsidRDefault="00FD237F">
      <w:pPr>
        <w:rPr>
          <w:rFonts w:ascii="Calibri" w:hAnsi="Calibri"/>
          <w:b/>
        </w:rPr>
      </w:pPr>
      <w:r w:rsidRPr="006D4AB3">
        <w:rPr>
          <w:rFonts w:ascii="Calibri" w:hAnsi="Calibri"/>
          <w:noProof/>
          <w:lang w:val="en-US"/>
        </w:rPr>
        <mc:AlternateContent>
          <mc:Choice Requires="wps">
            <w:drawing>
              <wp:anchor distT="45720" distB="45720" distL="114300" distR="114300" simplePos="0" relativeHeight="251661312" behindDoc="1" locked="0" layoutInCell="1" allowOverlap="1" wp14:anchorId="6E59B9E0" wp14:editId="19F535CD">
                <wp:simplePos x="0" y="0"/>
                <wp:positionH relativeFrom="margin">
                  <wp:posOffset>456565</wp:posOffset>
                </wp:positionH>
                <wp:positionV relativeFrom="paragraph">
                  <wp:posOffset>7620</wp:posOffset>
                </wp:positionV>
                <wp:extent cx="6151245" cy="3597910"/>
                <wp:effectExtent l="0" t="0" r="20955" b="21590"/>
                <wp:wrapTight wrapText="bothSides">
                  <wp:wrapPolygon edited="0">
                    <wp:start x="0" y="0"/>
                    <wp:lineTo x="0" y="21615"/>
                    <wp:lineTo x="21607" y="21615"/>
                    <wp:lineTo x="2160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597910"/>
                        </a:xfrm>
                        <a:prstGeom prst="rect">
                          <a:avLst/>
                        </a:prstGeom>
                        <a:solidFill>
                          <a:srgbClr val="FFFFFF"/>
                        </a:solidFill>
                        <a:ln w="9525">
                          <a:solidFill>
                            <a:srgbClr val="000000"/>
                          </a:solidFill>
                          <a:miter lim="800000"/>
                          <a:headEnd/>
                          <a:tailEnd/>
                        </a:ln>
                      </wps:spPr>
                      <wps:txbx>
                        <w:txbxContent>
                          <w:p w14:paraId="32DA4826" w14:textId="119BEDC0" w:rsidR="002B679D" w:rsidRPr="006D4AB3" w:rsidRDefault="002B679D" w:rsidP="0065383A">
                            <w:pPr>
                              <w:rPr>
                                <w:rFonts w:ascii="Calibri" w:hAnsi="Calibri"/>
                              </w:rPr>
                            </w:pPr>
                            <w:r w:rsidRPr="006D4AB3">
                              <w:rPr>
                                <w:rFonts w:ascii="Calibri" w:hAnsi="Calibri"/>
                              </w:rPr>
                              <w:t>The</w:t>
                            </w:r>
                            <w:r>
                              <w:rPr>
                                <w:rFonts w:ascii="Calibri" w:hAnsi="Calibri"/>
                              </w:rPr>
                              <w:t xml:space="preserve"> official</w:t>
                            </w:r>
                            <w:r w:rsidRPr="006D4AB3">
                              <w:rPr>
                                <w:rFonts w:ascii="Calibri" w:hAnsi="Calibri"/>
                              </w:rPr>
                              <w:t xml:space="preserve"> </w:t>
                            </w:r>
                            <w:r w:rsidRPr="006D4AB3">
                              <w:rPr>
                                <w:rFonts w:ascii="Calibri" w:hAnsi="Calibri"/>
                                <w:b/>
                                <w:i/>
                              </w:rPr>
                              <w:t>relative poverty line</w:t>
                            </w:r>
                            <w:r w:rsidRPr="006D4AB3">
                              <w:rPr>
                                <w:rFonts w:ascii="Calibri" w:hAnsi="Calibri"/>
                              </w:rPr>
                              <w:t xml:space="preserve"> is a</w:t>
                            </w:r>
                            <w:r>
                              <w:rPr>
                                <w:rFonts w:ascii="Calibri" w:hAnsi="Calibri"/>
                              </w:rPr>
                              <w:t xml:space="preserve">s any income below 60% of the median income. </w:t>
                            </w:r>
                            <w:r w:rsidRPr="006D4AB3">
                              <w:rPr>
                                <w:rFonts w:ascii="Calibri" w:hAnsi="Calibri"/>
                              </w:rPr>
                              <w:t xml:space="preserve">We use </w:t>
                            </w:r>
                            <w:r>
                              <w:rPr>
                                <w:rFonts w:ascii="Calibri" w:hAnsi="Calibri"/>
                              </w:rPr>
                              <w:t>After Housing Costs (</w:t>
                            </w:r>
                            <w:r w:rsidRPr="006D4AB3">
                              <w:rPr>
                                <w:rFonts w:ascii="Calibri" w:hAnsi="Calibri"/>
                              </w:rPr>
                              <w:t>AHC</w:t>
                            </w:r>
                            <w:r>
                              <w:rPr>
                                <w:rFonts w:ascii="Calibri" w:hAnsi="Calibri"/>
                              </w:rPr>
                              <w:t>)</w:t>
                            </w:r>
                            <w:r w:rsidRPr="006D4AB3">
                              <w:rPr>
                                <w:rFonts w:ascii="Calibri" w:hAnsi="Calibri"/>
                              </w:rPr>
                              <w:t xml:space="preserve"> figures </w:t>
                            </w:r>
                            <w:r>
                              <w:rPr>
                                <w:rFonts w:ascii="Calibri" w:hAnsi="Calibri"/>
                              </w:rPr>
                              <w:t>that</w:t>
                            </w:r>
                            <w:r w:rsidRPr="006D4AB3">
                              <w:rPr>
                                <w:rFonts w:ascii="Calibri" w:hAnsi="Calibri"/>
                              </w:rPr>
                              <w:t xml:space="preserve"> more realistically reflect income for non-fixed spending like food.</w:t>
                            </w:r>
                          </w:p>
                          <w:p w14:paraId="7B0E9D76" w14:textId="23DC202E" w:rsidR="002B679D" w:rsidRPr="006D4AB3" w:rsidRDefault="002B679D" w:rsidP="0065383A">
                            <w:pPr>
                              <w:ind w:left="720"/>
                              <w:rPr>
                                <w:rFonts w:ascii="Calibri" w:hAnsi="Calibri"/>
                              </w:rPr>
                            </w:pPr>
                            <w:r w:rsidRPr="006D4AB3">
                              <w:rPr>
                                <w:rFonts w:ascii="Calibri" w:hAnsi="Calibri"/>
                              </w:rPr>
                              <w:t xml:space="preserve">The median income in the UK AHC in 2013/14 was £18,528. </w:t>
                            </w:r>
                            <w:r w:rsidRPr="006D4AB3">
                              <w:rPr>
                                <w:rFonts w:ascii="Calibri" w:hAnsi="Calibri"/>
                              </w:rPr>
                              <w:br/>
                            </w:r>
                            <w:r>
                              <w:rPr>
                                <w:rFonts w:ascii="Calibri" w:hAnsi="Calibri"/>
                              </w:rPr>
                              <w:t xml:space="preserve">Below </w:t>
                            </w:r>
                            <w:r w:rsidRPr="006D4AB3">
                              <w:rPr>
                                <w:rFonts w:ascii="Calibri" w:hAnsi="Calibri"/>
                              </w:rPr>
                              <w:t xml:space="preserve">60% </w:t>
                            </w:r>
                            <w:r>
                              <w:rPr>
                                <w:rFonts w:ascii="Calibri" w:hAnsi="Calibri"/>
                              </w:rPr>
                              <w:t>of</w:t>
                            </w:r>
                            <w:r w:rsidRPr="006D4AB3">
                              <w:rPr>
                                <w:rFonts w:ascii="Calibri" w:hAnsi="Calibri"/>
                              </w:rPr>
                              <w:t xml:space="preserve"> this is £11,116 or £232 a week for a couple without children. </w:t>
                            </w:r>
                            <w:r w:rsidRPr="006D4AB3">
                              <w:rPr>
                                <w:rFonts w:ascii="Calibri" w:hAnsi="Calibri"/>
                              </w:rPr>
                              <w:br/>
                            </w:r>
                            <w:r w:rsidRPr="006D4AB3">
                              <w:rPr>
                                <w:rFonts w:ascii="Calibri" w:hAnsi="Calibri"/>
                                <w:b/>
                              </w:rPr>
                              <w:t>21% of the UK population fell below this poverty line</w:t>
                            </w:r>
                            <w:r w:rsidRPr="006D4AB3">
                              <w:rPr>
                                <w:rFonts w:ascii="Calibri" w:hAnsi="Calibri"/>
                              </w:rPr>
                              <w:t xml:space="preserve"> – 13.2 million</w:t>
                            </w:r>
                            <w:r>
                              <w:rPr>
                                <w:rFonts w:ascii="Calibri" w:hAnsi="Calibri"/>
                              </w:rPr>
                              <w:t xml:space="preserve"> people.</w:t>
                            </w:r>
                            <w:r>
                              <w:rPr>
                                <w:rFonts w:ascii="Calibri" w:hAnsi="Calibri"/>
                              </w:rPr>
                              <w:br/>
                              <w:t xml:space="preserve"> </w:t>
                            </w:r>
                            <w:r>
                              <w:rPr>
                                <w:rFonts w:ascii="Calibri" w:hAnsi="Calibri"/>
                              </w:rPr>
                              <w:tab/>
                              <w:t xml:space="preserve">- </w:t>
                            </w:r>
                            <w:proofErr w:type="gramStart"/>
                            <w:r>
                              <w:rPr>
                                <w:rFonts w:ascii="Calibri" w:hAnsi="Calibri"/>
                              </w:rPr>
                              <w:t>including</w:t>
                            </w:r>
                            <w:proofErr w:type="gramEnd"/>
                            <w:r>
                              <w:rPr>
                                <w:rFonts w:ascii="Calibri" w:hAnsi="Calibri"/>
                              </w:rPr>
                              <w:t xml:space="preserve"> </w:t>
                            </w:r>
                            <w:r w:rsidRPr="006D4AB3">
                              <w:rPr>
                                <w:rFonts w:ascii="Calibri" w:hAnsi="Calibri"/>
                              </w:rPr>
                              <w:t>3.7 million</w:t>
                            </w:r>
                            <w:r>
                              <w:rPr>
                                <w:rFonts w:ascii="Calibri" w:hAnsi="Calibri"/>
                              </w:rPr>
                              <w:t xml:space="preserve"> children (28%)</w:t>
                            </w:r>
                            <w:r w:rsidRPr="006D4AB3">
                              <w:rPr>
                                <w:rFonts w:ascii="Calibri" w:hAnsi="Calibri"/>
                              </w:rPr>
                              <w:t xml:space="preserve"> </w:t>
                            </w:r>
                            <w:r>
                              <w:rPr>
                                <w:rFonts w:ascii="Calibri" w:hAnsi="Calibri"/>
                              </w:rPr>
                              <w:t>and</w:t>
                            </w:r>
                            <w:r w:rsidRPr="006D4AB3">
                              <w:rPr>
                                <w:rFonts w:ascii="Calibri" w:hAnsi="Calibri"/>
                              </w:rPr>
                              <w:t xml:space="preserve"> 5.1 million </w:t>
                            </w:r>
                            <w:r>
                              <w:rPr>
                                <w:rFonts w:ascii="Calibri" w:hAnsi="Calibri"/>
                              </w:rPr>
                              <w:t xml:space="preserve">disabled people (27%) </w:t>
                            </w:r>
                          </w:p>
                          <w:p w14:paraId="7ABBC464" w14:textId="1DC11CD2" w:rsidR="002B679D" w:rsidRPr="006D4AB3" w:rsidRDefault="002B679D" w:rsidP="0065383A">
                            <w:pPr>
                              <w:rPr>
                                <w:rFonts w:ascii="Calibri" w:hAnsi="Calibri"/>
                              </w:rPr>
                            </w:pPr>
                            <w:r w:rsidRPr="006D4AB3">
                              <w:rPr>
                                <w:rFonts w:ascii="Calibri" w:hAnsi="Calibri"/>
                              </w:rPr>
                              <w:t>The</w:t>
                            </w:r>
                            <w:r>
                              <w:rPr>
                                <w:rFonts w:ascii="Calibri" w:hAnsi="Calibri"/>
                              </w:rPr>
                              <w:t xml:space="preserve"> official</w:t>
                            </w:r>
                            <w:r w:rsidRPr="006D4AB3">
                              <w:rPr>
                                <w:rFonts w:ascii="Calibri" w:hAnsi="Calibri"/>
                              </w:rPr>
                              <w:t xml:space="preserve"> </w:t>
                            </w:r>
                            <w:r w:rsidRPr="006D4AB3">
                              <w:rPr>
                                <w:rFonts w:ascii="Calibri" w:hAnsi="Calibri"/>
                                <w:b/>
                                <w:i/>
                              </w:rPr>
                              <w:t>absolute poverty line</w:t>
                            </w:r>
                            <w:r w:rsidRPr="006D4AB3">
                              <w:rPr>
                                <w:rFonts w:ascii="Calibri" w:hAnsi="Calibri"/>
                              </w:rPr>
                              <w:t xml:space="preserve"> is</w:t>
                            </w:r>
                            <w:r>
                              <w:rPr>
                                <w:rFonts w:ascii="Calibri" w:hAnsi="Calibri"/>
                              </w:rPr>
                              <w:t xml:space="preserve"> any income</w:t>
                            </w:r>
                            <w:r w:rsidRPr="006D4AB3">
                              <w:rPr>
                                <w:rFonts w:ascii="Calibri" w:hAnsi="Calibri"/>
                              </w:rPr>
                              <w:t xml:space="preserve"> below 60% of the 2010/11 median </w:t>
                            </w:r>
                            <w:proofErr w:type="gramStart"/>
                            <w:r w:rsidRPr="006D4AB3">
                              <w:rPr>
                                <w:rFonts w:ascii="Calibri" w:hAnsi="Calibri"/>
                              </w:rPr>
                              <w:t>income</w:t>
                            </w:r>
                            <w:proofErr w:type="gramEnd"/>
                            <w:r w:rsidRPr="006D4AB3">
                              <w:rPr>
                                <w:rFonts w:ascii="Calibri" w:hAnsi="Calibri"/>
                              </w:rPr>
                              <w:t xml:space="preserve"> (this still is a </w:t>
                            </w:r>
                            <w:r w:rsidRPr="006D4AB3">
                              <w:rPr>
                                <w:rFonts w:ascii="Calibri" w:hAnsi="Calibri"/>
                                <w:i/>
                              </w:rPr>
                              <w:t>relative measure</w:t>
                            </w:r>
                            <w:r w:rsidRPr="006D4AB3">
                              <w:rPr>
                                <w:rFonts w:ascii="Calibri" w:hAnsi="Calibri"/>
                              </w:rPr>
                              <w:t xml:space="preserve"> and is</w:t>
                            </w:r>
                            <w:r>
                              <w:rPr>
                                <w:rFonts w:ascii="Calibri" w:hAnsi="Calibri"/>
                              </w:rPr>
                              <w:t xml:space="preserve"> not</w:t>
                            </w:r>
                            <w:r w:rsidRPr="006D4AB3">
                              <w:rPr>
                                <w:rFonts w:ascii="Calibri" w:hAnsi="Calibri"/>
                              </w:rPr>
                              <w:t xml:space="preserve"> fixed according to the cost of living but it is fixed to a point in time).</w:t>
                            </w:r>
                          </w:p>
                          <w:p w14:paraId="106A36FA" w14:textId="164ADB8E" w:rsidR="002B679D" w:rsidRPr="006D4AB3" w:rsidRDefault="002B679D" w:rsidP="0065383A">
                            <w:pPr>
                              <w:ind w:left="720"/>
                              <w:rPr>
                                <w:rFonts w:ascii="Calibri" w:hAnsi="Calibri"/>
                              </w:rPr>
                            </w:pPr>
                            <w:r w:rsidRPr="006D4AB3">
                              <w:rPr>
                                <w:rFonts w:ascii="Calibri" w:hAnsi="Calibri"/>
                              </w:rPr>
                              <w:t>The median income in the UK AHC in 2010/2011 was £19,360</w:t>
                            </w:r>
                            <w:r w:rsidRPr="006D4AB3">
                              <w:rPr>
                                <w:rFonts w:ascii="Calibri" w:hAnsi="Calibri"/>
                              </w:rPr>
                              <w:br/>
                            </w:r>
                            <w:r>
                              <w:rPr>
                                <w:rFonts w:ascii="Calibri" w:hAnsi="Calibri"/>
                              </w:rPr>
                              <w:t xml:space="preserve">Below </w:t>
                            </w:r>
                            <w:r w:rsidRPr="006D4AB3">
                              <w:rPr>
                                <w:rFonts w:ascii="Calibri" w:hAnsi="Calibri"/>
                              </w:rPr>
                              <w:t xml:space="preserve">60% </w:t>
                            </w:r>
                            <w:r>
                              <w:rPr>
                                <w:rFonts w:ascii="Calibri" w:hAnsi="Calibri"/>
                              </w:rPr>
                              <w:t>of this</w:t>
                            </w:r>
                            <w:r w:rsidRPr="006D4AB3">
                              <w:rPr>
                                <w:rFonts w:ascii="Calibri" w:hAnsi="Calibri"/>
                              </w:rPr>
                              <w:t>, plus inflation, is £11,616 or £242 a week for a couple without children.</w:t>
                            </w:r>
                            <w:r w:rsidRPr="006D4AB3">
                              <w:rPr>
                                <w:rFonts w:ascii="Calibri" w:hAnsi="Calibri"/>
                              </w:rPr>
                              <w:br/>
                            </w:r>
                            <w:r w:rsidRPr="006D4AB3">
                              <w:rPr>
                                <w:rFonts w:ascii="Calibri" w:hAnsi="Calibri"/>
                                <w:b/>
                              </w:rPr>
                              <w:t>23% of the UK population fell below this poverty line</w:t>
                            </w:r>
                            <w:r w:rsidRPr="006D4AB3">
                              <w:rPr>
                                <w:rFonts w:ascii="Calibri" w:hAnsi="Calibri"/>
                              </w:rPr>
                              <w:t xml:space="preserve"> – 14.5 milli</w:t>
                            </w:r>
                            <w:r>
                              <w:rPr>
                                <w:rFonts w:ascii="Calibri" w:hAnsi="Calibri"/>
                              </w:rPr>
                              <w:t>on people.</w:t>
                            </w:r>
                            <w:r>
                              <w:rPr>
                                <w:rFonts w:ascii="Calibri" w:hAnsi="Calibri"/>
                              </w:rPr>
                              <w:br/>
                            </w:r>
                            <w:r>
                              <w:rPr>
                                <w:rFonts w:ascii="Calibri" w:hAnsi="Calibri"/>
                              </w:rPr>
                              <w:tab/>
                              <w:t xml:space="preserve">- </w:t>
                            </w:r>
                            <w:proofErr w:type="gramStart"/>
                            <w:r>
                              <w:rPr>
                                <w:rFonts w:ascii="Calibri" w:hAnsi="Calibri"/>
                              </w:rPr>
                              <w:t>including</w:t>
                            </w:r>
                            <w:proofErr w:type="gramEnd"/>
                            <w:r w:rsidRPr="006D4AB3">
                              <w:rPr>
                                <w:rFonts w:ascii="Calibri" w:hAnsi="Calibri"/>
                              </w:rPr>
                              <w:t xml:space="preserve"> 4.1 million children</w:t>
                            </w:r>
                            <w:r>
                              <w:rPr>
                                <w:rFonts w:ascii="Calibri" w:hAnsi="Calibri"/>
                              </w:rPr>
                              <w:t xml:space="preserve"> (31%) and </w:t>
                            </w:r>
                            <w:r w:rsidRPr="006D4AB3">
                              <w:rPr>
                                <w:rFonts w:ascii="Calibri" w:hAnsi="Calibri"/>
                              </w:rPr>
                              <w:t xml:space="preserve">5.6 million </w:t>
                            </w:r>
                            <w:r>
                              <w:rPr>
                                <w:rFonts w:ascii="Calibri" w:hAnsi="Calibri"/>
                              </w:rPr>
                              <w:t>disabled people (30%)</w:t>
                            </w:r>
                          </w:p>
                          <w:p w14:paraId="3E28F428" w14:textId="64A27C13" w:rsidR="002B679D" w:rsidRDefault="002B679D" w:rsidP="0065383A">
                            <w:pPr>
                              <w:rPr>
                                <w:rFonts w:ascii="Calibri" w:hAnsi="Calibri"/>
                              </w:rPr>
                            </w:pPr>
                            <w:r w:rsidRPr="006D4AB3">
                              <w:rPr>
                                <w:rFonts w:ascii="Calibri" w:hAnsi="Calibri"/>
                              </w:rPr>
                              <w:t xml:space="preserve">The </w:t>
                            </w:r>
                            <w:r w:rsidRPr="006D4AB3">
                              <w:rPr>
                                <w:rFonts w:ascii="Calibri" w:hAnsi="Calibri"/>
                                <w:b/>
                                <w:i/>
                              </w:rPr>
                              <w:t>Minimum Income Standard</w:t>
                            </w:r>
                            <w:r>
                              <w:rPr>
                                <w:rFonts w:ascii="Calibri" w:hAnsi="Calibri"/>
                              </w:rPr>
                              <w:t xml:space="preserve"> is </w:t>
                            </w:r>
                            <w:r w:rsidRPr="006D4AB3">
                              <w:rPr>
                                <w:rFonts w:ascii="Calibri" w:hAnsi="Calibri"/>
                              </w:rPr>
                              <w:t>the minimum needed for a sociall</w:t>
                            </w:r>
                            <w:r>
                              <w:rPr>
                                <w:rFonts w:ascii="Calibri" w:hAnsi="Calibri"/>
                              </w:rPr>
                              <w:t xml:space="preserve">y acceptable standard of living, including nutrition as calculated independently according to the cost of living. </w:t>
                            </w:r>
                          </w:p>
                          <w:p w14:paraId="4CFAC05E" w14:textId="2C3974F8" w:rsidR="002B679D" w:rsidRPr="006D4AB3" w:rsidRDefault="002B679D" w:rsidP="008B5893">
                            <w:pPr>
                              <w:ind w:firstLine="720"/>
                              <w:rPr>
                                <w:rFonts w:ascii="Calibri" w:hAnsi="Calibri"/>
                              </w:rPr>
                            </w:pPr>
                            <w:r w:rsidRPr="00C052DA">
                              <w:rPr>
                                <w:rFonts w:ascii="Calibri" w:hAnsi="Calibri"/>
                              </w:rPr>
                              <w:t>The MIS in 2015/16 AHC was £12,528 or £261 a week for a couple without children.</w:t>
                            </w:r>
                            <w:r w:rsidRPr="00C052DA">
                              <w:rPr>
                                <w:rFonts w:ascii="Calibri" w:hAnsi="Calibri"/>
                              </w:rPr>
                              <w:br/>
                            </w:r>
                            <w:r w:rsidRPr="00C052DA">
                              <w:rPr>
                                <w:rFonts w:ascii="Calibri" w:hAnsi="Calibri"/>
                              </w:rPr>
                              <w:tab/>
                            </w:r>
                            <w:r w:rsidRPr="00C052DA">
                              <w:rPr>
                                <w:rFonts w:ascii="Calibri" w:hAnsi="Calibri"/>
                                <w:b/>
                              </w:rPr>
                              <w:t xml:space="preserve">27% of </w:t>
                            </w:r>
                            <w:r>
                              <w:rPr>
                                <w:rFonts w:ascii="Calibri" w:hAnsi="Calibri"/>
                                <w:b/>
                              </w:rPr>
                              <w:t>the UK population</w:t>
                            </w:r>
                            <w:r w:rsidRPr="00C052DA">
                              <w:rPr>
                                <w:rFonts w:ascii="Calibri" w:hAnsi="Calibri"/>
                                <w:b/>
                              </w:rPr>
                              <w:t xml:space="preserve"> fell below this standard</w:t>
                            </w:r>
                            <w:r w:rsidRPr="00C052DA">
                              <w:rPr>
                                <w:rFonts w:ascii="Calibri" w:hAnsi="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5pt;margin-top:.6pt;width:484.35pt;height:283.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">
                <v:textbox>
                  <w:txbxContent>
                    <w:p w14:paraId="32DA4826" w14:textId="119BEDC0" w:rsidR="002B679D" w:rsidRPr="006D4AB3" w:rsidRDefault="002B679D" w:rsidP="0065383A">
                      <w:pPr>
                        <w:rPr>
                          <w:rFonts w:ascii="Calibri" w:hAnsi="Calibri"/>
                        </w:rPr>
                      </w:pPr>
                      <w:r w:rsidRPr="006D4AB3">
                        <w:rPr>
                          <w:rFonts w:ascii="Calibri" w:hAnsi="Calibri"/>
                        </w:rPr>
                        <w:t>The</w:t>
                      </w:r>
                      <w:r>
                        <w:rPr>
                          <w:rFonts w:ascii="Calibri" w:hAnsi="Calibri"/>
                        </w:rPr>
                        <w:t xml:space="preserve"> official</w:t>
                      </w:r>
                      <w:r w:rsidRPr="006D4AB3">
                        <w:rPr>
                          <w:rFonts w:ascii="Calibri" w:hAnsi="Calibri"/>
                        </w:rPr>
                        <w:t xml:space="preserve"> </w:t>
                      </w:r>
                      <w:r w:rsidRPr="006D4AB3">
                        <w:rPr>
                          <w:rFonts w:ascii="Calibri" w:hAnsi="Calibri"/>
                          <w:b/>
                          <w:i/>
                        </w:rPr>
                        <w:t>relative poverty line</w:t>
                      </w:r>
                      <w:r w:rsidRPr="006D4AB3">
                        <w:rPr>
                          <w:rFonts w:ascii="Calibri" w:hAnsi="Calibri"/>
                        </w:rPr>
                        <w:t xml:space="preserve"> is a</w:t>
                      </w:r>
                      <w:r>
                        <w:rPr>
                          <w:rFonts w:ascii="Calibri" w:hAnsi="Calibri"/>
                        </w:rPr>
                        <w:t xml:space="preserve">s any income below 60% of the median income. </w:t>
                      </w:r>
                      <w:r w:rsidRPr="006D4AB3">
                        <w:rPr>
                          <w:rFonts w:ascii="Calibri" w:hAnsi="Calibri"/>
                        </w:rPr>
                        <w:t xml:space="preserve">We use </w:t>
                      </w:r>
                      <w:r>
                        <w:rPr>
                          <w:rFonts w:ascii="Calibri" w:hAnsi="Calibri"/>
                        </w:rPr>
                        <w:t>After Housing Costs (</w:t>
                      </w:r>
                      <w:r w:rsidRPr="006D4AB3">
                        <w:rPr>
                          <w:rFonts w:ascii="Calibri" w:hAnsi="Calibri"/>
                        </w:rPr>
                        <w:t>AHC</w:t>
                      </w:r>
                      <w:r>
                        <w:rPr>
                          <w:rFonts w:ascii="Calibri" w:hAnsi="Calibri"/>
                        </w:rPr>
                        <w:t>)</w:t>
                      </w:r>
                      <w:r w:rsidRPr="006D4AB3">
                        <w:rPr>
                          <w:rFonts w:ascii="Calibri" w:hAnsi="Calibri"/>
                        </w:rPr>
                        <w:t xml:space="preserve"> figures </w:t>
                      </w:r>
                      <w:r>
                        <w:rPr>
                          <w:rFonts w:ascii="Calibri" w:hAnsi="Calibri"/>
                        </w:rPr>
                        <w:t>that</w:t>
                      </w:r>
                      <w:r w:rsidRPr="006D4AB3">
                        <w:rPr>
                          <w:rFonts w:ascii="Calibri" w:hAnsi="Calibri"/>
                        </w:rPr>
                        <w:t xml:space="preserve"> more realistically reflect income for non-fixed spending like food.</w:t>
                      </w:r>
                    </w:p>
                    <w:p w14:paraId="7B0E9D76" w14:textId="23DC202E" w:rsidR="002B679D" w:rsidRPr="006D4AB3" w:rsidRDefault="002B679D" w:rsidP="0065383A">
                      <w:pPr>
                        <w:ind w:left="720"/>
                        <w:rPr>
                          <w:rFonts w:ascii="Calibri" w:hAnsi="Calibri"/>
                        </w:rPr>
                      </w:pPr>
                      <w:r w:rsidRPr="006D4AB3">
                        <w:rPr>
                          <w:rFonts w:ascii="Calibri" w:hAnsi="Calibri"/>
                        </w:rPr>
                        <w:t xml:space="preserve">The median income in the UK AHC in 2013/14 was £18,528. </w:t>
                      </w:r>
                      <w:r w:rsidRPr="006D4AB3">
                        <w:rPr>
                          <w:rFonts w:ascii="Calibri" w:hAnsi="Calibri"/>
                        </w:rPr>
                        <w:br/>
                      </w:r>
                      <w:r>
                        <w:rPr>
                          <w:rFonts w:ascii="Calibri" w:hAnsi="Calibri"/>
                        </w:rPr>
                        <w:t xml:space="preserve">Below </w:t>
                      </w:r>
                      <w:r w:rsidRPr="006D4AB3">
                        <w:rPr>
                          <w:rFonts w:ascii="Calibri" w:hAnsi="Calibri"/>
                        </w:rPr>
                        <w:t xml:space="preserve">60% </w:t>
                      </w:r>
                      <w:r>
                        <w:rPr>
                          <w:rFonts w:ascii="Calibri" w:hAnsi="Calibri"/>
                        </w:rPr>
                        <w:t>of</w:t>
                      </w:r>
                      <w:r w:rsidRPr="006D4AB3">
                        <w:rPr>
                          <w:rFonts w:ascii="Calibri" w:hAnsi="Calibri"/>
                        </w:rPr>
                        <w:t xml:space="preserve"> this is £11,116 or £232 a week for a couple without children. </w:t>
                      </w:r>
                      <w:r w:rsidRPr="006D4AB3">
                        <w:rPr>
                          <w:rFonts w:ascii="Calibri" w:hAnsi="Calibri"/>
                        </w:rPr>
                        <w:br/>
                      </w:r>
                      <w:r w:rsidRPr="006D4AB3">
                        <w:rPr>
                          <w:rFonts w:ascii="Calibri" w:hAnsi="Calibri"/>
                          <w:b/>
                        </w:rPr>
                        <w:t>21% of the UK population fell below this poverty line</w:t>
                      </w:r>
                      <w:r w:rsidRPr="006D4AB3">
                        <w:rPr>
                          <w:rFonts w:ascii="Calibri" w:hAnsi="Calibri"/>
                        </w:rPr>
                        <w:t xml:space="preserve"> – 13.2 million</w:t>
                      </w:r>
                      <w:r>
                        <w:rPr>
                          <w:rFonts w:ascii="Calibri" w:hAnsi="Calibri"/>
                        </w:rPr>
                        <w:t xml:space="preserve"> people.</w:t>
                      </w:r>
                      <w:r>
                        <w:rPr>
                          <w:rFonts w:ascii="Calibri" w:hAnsi="Calibri"/>
                        </w:rPr>
                        <w:br/>
                        <w:t xml:space="preserve"> </w:t>
                      </w:r>
                      <w:r>
                        <w:rPr>
                          <w:rFonts w:ascii="Calibri" w:hAnsi="Calibri"/>
                        </w:rPr>
                        <w:tab/>
                        <w:t xml:space="preserve">- </w:t>
                      </w:r>
                      <w:proofErr w:type="gramStart"/>
                      <w:r>
                        <w:rPr>
                          <w:rFonts w:ascii="Calibri" w:hAnsi="Calibri"/>
                        </w:rPr>
                        <w:t>including</w:t>
                      </w:r>
                      <w:proofErr w:type="gramEnd"/>
                      <w:r>
                        <w:rPr>
                          <w:rFonts w:ascii="Calibri" w:hAnsi="Calibri"/>
                        </w:rPr>
                        <w:t xml:space="preserve"> </w:t>
                      </w:r>
                      <w:r w:rsidRPr="006D4AB3">
                        <w:rPr>
                          <w:rFonts w:ascii="Calibri" w:hAnsi="Calibri"/>
                        </w:rPr>
                        <w:t>3.7 million</w:t>
                      </w:r>
                      <w:r>
                        <w:rPr>
                          <w:rFonts w:ascii="Calibri" w:hAnsi="Calibri"/>
                        </w:rPr>
                        <w:t xml:space="preserve"> children (28%)</w:t>
                      </w:r>
                      <w:r w:rsidRPr="006D4AB3">
                        <w:rPr>
                          <w:rFonts w:ascii="Calibri" w:hAnsi="Calibri"/>
                        </w:rPr>
                        <w:t xml:space="preserve"> </w:t>
                      </w:r>
                      <w:r>
                        <w:rPr>
                          <w:rFonts w:ascii="Calibri" w:hAnsi="Calibri"/>
                        </w:rPr>
                        <w:t>and</w:t>
                      </w:r>
                      <w:r w:rsidRPr="006D4AB3">
                        <w:rPr>
                          <w:rFonts w:ascii="Calibri" w:hAnsi="Calibri"/>
                        </w:rPr>
                        <w:t xml:space="preserve"> 5.1 million </w:t>
                      </w:r>
                      <w:r>
                        <w:rPr>
                          <w:rFonts w:ascii="Calibri" w:hAnsi="Calibri"/>
                        </w:rPr>
                        <w:t xml:space="preserve">disabled people (27%) </w:t>
                      </w:r>
                    </w:p>
                    <w:p w14:paraId="7ABBC464" w14:textId="1DC11CD2" w:rsidR="002B679D" w:rsidRPr="006D4AB3" w:rsidRDefault="002B679D" w:rsidP="0065383A">
                      <w:pPr>
                        <w:rPr>
                          <w:rFonts w:ascii="Calibri" w:hAnsi="Calibri"/>
                        </w:rPr>
                      </w:pPr>
                      <w:r w:rsidRPr="006D4AB3">
                        <w:rPr>
                          <w:rFonts w:ascii="Calibri" w:hAnsi="Calibri"/>
                        </w:rPr>
                        <w:t>The</w:t>
                      </w:r>
                      <w:r>
                        <w:rPr>
                          <w:rFonts w:ascii="Calibri" w:hAnsi="Calibri"/>
                        </w:rPr>
                        <w:t xml:space="preserve"> official</w:t>
                      </w:r>
                      <w:r w:rsidRPr="006D4AB3">
                        <w:rPr>
                          <w:rFonts w:ascii="Calibri" w:hAnsi="Calibri"/>
                        </w:rPr>
                        <w:t xml:space="preserve"> </w:t>
                      </w:r>
                      <w:r w:rsidRPr="006D4AB3">
                        <w:rPr>
                          <w:rFonts w:ascii="Calibri" w:hAnsi="Calibri"/>
                          <w:b/>
                          <w:i/>
                        </w:rPr>
                        <w:t>absolute poverty line</w:t>
                      </w:r>
                      <w:r w:rsidRPr="006D4AB3">
                        <w:rPr>
                          <w:rFonts w:ascii="Calibri" w:hAnsi="Calibri"/>
                        </w:rPr>
                        <w:t xml:space="preserve"> is</w:t>
                      </w:r>
                      <w:r>
                        <w:rPr>
                          <w:rFonts w:ascii="Calibri" w:hAnsi="Calibri"/>
                        </w:rPr>
                        <w:t xml:space="preserve"> any income</w:t>
                      </w:r>
                      <w:r w:rsidRPr="006D4AB3">
                        <w:rPr>
                          <w:rFonts w:ascii="Calibri" w:hAnsi="Calibri"/>
                        </w:rPr>
                        <w:t xml:space="preserve"> below 60% of the 2010/11 median </w:t>
                      </w:r>
                      <w:proofErr w:type="gramStart"/>
                      <w:r w:rsidRPr="006D4AB3">
                        <w:rPr>
                          <w:rFonts w:ascii="Calibri" w:hAnsi="Calibri"/>
                        </w:rPr>
                        <w:t>income</w:t>
                      </w:r>
                      <w:proofErr w:type="gramEnd"/>
                      <w:r w:rsidRPr="006D4AB3">
                        <w:rPr>
                          <w:rFonts w:ascii="Calibri" w:hAnsi="Calibri"/>
                        </w:rPr>
                        <w:t xml:space="preserve"> (this still is a </w:t>
                      </w:r>
                      <w:r w:rsidRPr="006D4AB3">
                        <w:rPr>
                          <w:rFonts w:ascii="Calibri" w:hAnsi="Calibri"/>
                          <w:i/>
                        </w:rPr>
                        <w:t>relative measure</w:t>
                      </w:r>
                      <w:r w:rsidRPr="006D4AB3">
                        <w:rPr>
                          <w:rFonts w:ascii="Calibri" w:hAnsi="Calibri"/>
                        </w:rPr>
                        <w:t xml:space="preserve"> and is</w:t>
                      </w:r>
                      <w:r>
                        <w:rPr>
                          <w:rFonts w:ascii="Calibri" w:hAnsi="Calibri"/>
                        </w:rPr>
                        <w:t xml:space="preserve"> not</w:t>
                      </w:r>
                      <w:r w:rsidRPr="006D4AB3">
                        <w:rPr>
                          <w:rFonts w:ascii="Calibri" w:hAnsi="Calibri"/>
                        </w:rPr>
                        <w:t xml:space="preserve"> fixed according to the cost of living but it is fixed to a point in time).</w:t>
                      </w:r>
                    </w:p>
                    <w:p w14:paraId="106A36FA" w14:textId="164ADB8E" w:rsidR="002B679D" w:rsidRPr="006D4AB3" w:rsidRDefault="002B679D" w:rsidP="0065383A">
                      <w:pPr>
                        <w:ind w:left="720"/>
                        <w:rPr>
                          <w:rFonts w:ascii="Calibri" w:hAnsi="Calibri"/>
                        </w:rPr>
                      </w:pPr>
                      <w:r w:rsidRPr="006D4AB3">
                        <w:rPr>
                          <w:rFonts w:ascii="Calibri" w:hAnsi="Calibri"/>
                        </w:rPr>
                        <w:t>The median income in the UK AHC in 2010/2011 was £19,360</w:t>
                      </w:r>
                      <w:r w:rsidRPr="006D4AB3">
                        <w:rPr>
                          <w:rFonts w:ascii="Calibri" w:hAnsi="Calibri"/>
                        </w:rPr>
                        <w:br/>
                      </w:r>
                      <w:r>
                        <w:rPr>
                          <w:rFonts w:ascii="Calibri" w:hAnsi="Calibri"/>
                        </w:rPr>
                        <w:t xml:space="preserve">Below </w:t>
                      </w:r>
                      <w:r w:rsidRPr="006D4AB3">
                        <w:rPr>
                          <w:rFonts w:ascii="Calibri" w:hAnsi="Calibri"/>
                        </w:rPr>
                        <w:t xml:space="preserve">60% </w:t>
                      </w:r>
                      <w:r>
                        <w:rPr>
                          <w:rFonts w:ascii="Calibri" w:hAnsi="Calibri"/>
                        </w:rPr>
                        <w:t>of this</w:t>
                      </w:r>
                      <w:r w:rsidRPr="006D4AB3">
                        <w:rPr>
                          <w:rFonts w:ascii="Calibri" w:hAnsi="Calibri"/>
                        </w:rPr>
                        <w:t>, plus inflation, is £11,616 or £242 a week for a couple without children.</w:t>
                      </w:r>
                      <w:r w:rsidRPr="006D4AB3">
                        <w:rPr>
                          <w:rFonts w:ascii="Calibri" w:hAnsi="Calibri"/>
                        </w:rPr>
                        <w:br/>
                      </w:r>
                      <w:r w:rsidRPr="006D4AB3">
                        <w:rPr>
                          <w:rFonts w:ascii="Calibri" w:hAnsi="Calibri"/>
                          <w:b/>
                        </w:rPr>
                        <w:t>23% of the UK population fell below this poverty line</w:t>
                      </w:r>
                      <w:r w:rsidRPr="006D4AB3">
                        <w:rPr>
                          <w:rFonts w:ascii="Calibri" w:hAnsi="Calibri"/>
                        </w:rPr>
                        <w:t xml:space="preserve"> – 14.5 milli</w:t>
                      </w:r>
                      <w:r>
                        <w:rPr>
                          <w:rFonts w:ascii="Calibri" w:hAnsi="Calibri"/>
                        </w:rPr>
                        <w:t>on people.</w:t>
                      </w:r>
                      <w:r>
                        <w:rPr>
                          <w:rFonts w:ascii="Calibri" w:hAnsi="Calibri"/>
                        </w:rPr>
                        <w:br/>
                      </w:r>
                      <w:r>
                        <w:rPr>
                          <w:rFonts w:ascii="Calibri" w:hAnsi="Calibri"/>
                        </w:rPr>
                        <w:tab/>
                        <w:t xml:space="preserve">- </w:t>
                      </w:r>
                      <w:proofErr w:type="gramStart"/>
                      <w:r>
                        <w:rPr>
                          <w:rFonts w:ascii="Calibri" w:hAnsi="Calibri"/>
                        </w:rPr>
                        <w:t>including</w:t>
                      </w:r>
                      <w:proofErr w:type="gramEnd"/>
                      <w:r w:rsidRPr="006D4AB3">
                        <w:rPr>
                          <w:rFonts w:ascii="Calibri" w:hAnsi="Calibri"/>
                        </w:rPr>
                        <w:t xml:space="preserve"> 4.1 million children</w:t>
                      </w:r>
                      <w:r>
                        <w:rPr>
                          <w:rFonts w:ascii="Calibri" w:hAnsi="Calibri"/>
                        </w:rPr>
                        <w:t xml:space="preserve"> (31%) and </w:t>
                      </w:r>
                      <w:r w:rsidRPr="006D4AB3">
                        <w:rPr>
                          <w:rFonts w:ascii="Calibri" w:hAnsi="Calibri"/>
                        </w:rPr>
                        <w:t xml:space="preserve">5.6 million </w:t>
                      </w:r>
                      <w:r>
                        <w:rPr>
                          <w:rFonts w:ascii="Calibri" w:hAnsi="Calibri"/>
                        </w:rPr>
                        <w:t>disabled people (30%)</w:t>
                      </w:r>
                    </w:p>
                    <w:p w14:paraId="3E28F428" w14:textId="64A27C13" w:rsidR="002B679D" w:rsidRDefault="002B679D" w:rsidP="0065383A">
                      <w:pPr>
                        <w:rPr>
                          <w:rFonts w:ascii="Calibri" w:hAnsi="Calibri"/>
                        </w:rPr>
                      </w:pPr>
                      <w:r w:rsidRPr="006D4AB3">
                        <w:rPr>
                          <w:rFonts w:ascii="Calibri" w:hAnsi="Calibri"/>
                        </w:rPr>
                        <w:t xml:space="preserve">The </w:t>
                      </w:r>
                      <w:r w:rsidRPr="006D4AB3">
                        <w:rPr>
                          <w:rFonts w:ascii="Calibri" w:hAnsi="Calibri"/>
                          <w:b/>
                          <w:i/>
                        </w:rPr>
                        <w:t>Minimum Income Standard</w:t>
                      </w:r>
                      <w:r>
                        <w:rPr>
                          <w:rFonts w:ascii="Calibri" w:hAnsi="Calibri"/>
                        </w:rPr>
                        <w:t xml:space="preserve"> is </w:t>
                      </w:r>
                      <w:r w:rsidRPr="006D4AB3">
                        <w:rPr>
                          <w:rFonts w:ascii="Calibri" w:hAnsi="Calibri"/>
                        </w:rPr>
                        <w:t>the minimum needed for a sociall</w:t>
                      </w:r>
                      <w:r>
                        <w:rPr>
                          <w:rFonts w:ascii="Calibri" w:hAnsi="Calibri"/>
                        </w:rPr>
                        <w:t xml:space="preserve">y acceptable standard of living, including nutrition as calculated independently according to the cost of living. </w:t>
                      </w:r>
                    </w:p>
                    <w:p w14:paraId="4CFAC05E" w14:textId="2C3974F8" w:rsidR="002B679D" w:rsidRPr="006D4AB3" w:rsidRDefault="002B679D" w:rsidP="008B5893">
                      <w:pPr>
                        <w:ind w:firstLine="720"/>
                        <w:rPr>
                          <w:rFonts w:ascii="Calibri" w:hAnsi="Calibri"/>
                        </w:rPr>
                      </w:pPr>
                      <w:r w:rsidRPr="00C052DA">
                        <w:rPr>
                          <w:rFonts w:ascii="Calibri" w:hAnsi="Calibri"/>
                        </w:rPr>
                        <w:t>The MIS in 2015/16 AHC was £12,528 or £261 a week for a couple without children.</w:t>
                      </w:r>
                      <w:r w:rsidRPr="00C052DA">
                        <w:rPr>
                          <w:rFonts w:ascii="Calibri" w:hAnsi="Calibri"/>
                        </w:rPr>
                        <w:br/>
                      </w:r>
                      <w:r w:rsidRPr="00C052DA">
                        <w:rPr>
                          <w:rFonts w:ascii="Calibri" w:hAnsi="Calibri"/>
                        </w:rPr>
                        <w:tab/>
                      </w:r>
                      <w:r w:rsidRPr="00C052DA">
                        <w:rPr>
                          <w:rFonts w:ascii="Calibri" w:hAnsi="Calibri"/>
                          <w:b/>
                        </w:rPr>
                        <w:t xml:space="preserve">27% of </w:t>
                      </w:r>
                      <w:r>
                        <w:rPr>
                          <w:rFonts w:ascii="Calibri" w:hAnsi="Calibri"/>
                          <w:b/>
                        </w:rPr>
                        <w:t>the UK population</w:t>
                      </w:r>
                      <w:r w:rsidRPr="00C052DA">
                        <w:rPr>
                          <w:rFonts w:ascii="Calibri" w:hAnsi="Calibri"/>
                          <w:b/>
                        </w:rPr>
                        <w:t xml:space="preserve"> fell below this standard</w:t>
                      </w:r>
                      <w:r w:rsidRPr="00C052DA">
                        <w:rPr>
                          <w:rFonts w:ascii="Calibri" w:hAnsi="Calibri"/>
                        </w:rPr>
                        <w:t>.</w:t>
                      </w:r>
                    </w:p>
                  </w:txbxContent>
                </v:textbox>
                <w10:wrap type="tight" anchorx="margin"/>
              </v:shape>
            </w:pict>
          </mc:Fallback>
        </mc:AlternateContent>
      </w:r>
      <w:r w:rsidR="009D2D77" w:rsidRPr="006D4AB3">
        <w:rPr>
          <w:rFonts w:ascii="Calibri" w:hAnsi="Calibri"/>
          <w:b/>
        </w:rPr>
        <w:br w:type="page"/>
      </w:r>
    </w:p>
    <w:p w14:paraId="1C0B40F0" w14:textId="77777777" w:rsidR="00506EFF" w:rsidRPr="006D4AB3" w:rsidRDefault="005C0F44" w:rsidP="0065383A">
      <w:pPr>
        <w:ind w:firstLine="720"/>
        <w:rPr>
          <w:rFonts w:ascii="Calibri" w:hAnsi="Calibri"/>
          <w:b/>
        </w:rPr>
      </w:pPr>
      <w:r w:rsidRPr="006D4AB3">
        <w:rPr>
          <w:rFonts w:ascii="Calibri" w:hAnsi="Calibri"/>
          <w:noProof/>
          <w:color w:val="FF0000"/>
          <w:lang w:val="en-US"/>
        </w:rPr>
        <w:lastRenderedPageBreak/>
        <mc:AlternateContent>
          <mc:Choice Requires="wps">
            <w:drawing>
              <wp:anchor distT="0" distB="0" distL="114300" distR="114300" simplePos="0" relativeHeight="251666432" behindDoc="0" locked="0" layoutInCell="1" allowOverlap="1" wp14:anchorId="4A78F185" wp14:editId="553BBCA1">
                <wp:simplePos x="0" y="0"/>
                <wp:positionH relativeFrom="margin">
                  <wp:align>left</wp:align>
                </wp:positionH>
                <wp:positionV relativeFrom="paragraph">
                  <wp:posOffset>-1</wp:posOffset>
                </wp:positionV>
                <wp:extent cx="11430" cy="7086600"/>
                <wp:effectExtent l="0" t="0" r="39370" b="25400"/>
                <wp:wrapNone/>
                <wp:docPr id="7" name="Straight Connector 7"/>
                <wp:cNvGraphicFramePr/>
                <a:graphic xmlns:a="http://schemas.openxmlformats.org/drawingml/2006/main">
                  <a:graphicData uri="http://schemas.microsoft.com/office/word/2010/wordprocessingShape">
                    <wps:wsp>
                      <wps:cNvCnPr/>
                      <wps:spPr>
                        <a:xfrm flipH="1">
                          <a:off x="0" y="0"/>
                          <a:ext cx="11876" cy="7086600"/>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9pt,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" strokecolor="red" strokeweight="2pt">
                <v:stroke dashstyle="dash" joinstyle="miter"/>
                <w10:wrap anchorx="margin"/>
              </v:line>
            </w:pict>
          </mc:Fallback>
        </mc:AlternateContent>
      </w:r>
      <w:r w:rsidR="00506EFF" w:rsidRPr="006D4AB3">
        <w:rPr>
          <w:rFonts w:ascii="Calibri" w:hAnsi="Calibri"/>
          <w:b/>
        </w:rPr>
        <w:t>Wages:</w:t>
      </w:r>
    </w:p>
    <w:p w14:paraId="76C6F932" w14:textId="2ED6D477" w:rsidR="00506EFF" w:rsidRPr="006D4AB3" w:rsidRDefault="00506EFF" w:rsidP="0065383A">
      <w:pPr>
        <w:ind w:left="720"/>
        <w:rPr>
          <w:rFonts w:ascii="Calibri" w:hAnsi="Calibri"/>
        </w:rPr>
      </w:pPr>
      <w:r w:rsidRPr="006D4AB3">
        <w:rPr>
          <w:rFonts w:ascii="Calibri" w:hAnsi="Calibri"/>
        </w:rPr>
        <w:t xml:space="preserve">A huge number of people working in the UK have low-paying jobs, are underemployed or are not secure in their jobs. This is a major contributor to food insecurity, highlighted by the fact that </w:t>
      </w:r>
      <w:r w:rsidRPr="006D4AB3">
        <w:rPr>
          <w:rFonts w:ascii="Calibri" w:hAnsi="Calibri"/>
          <w:b/>
        </w:rPr>
        <w:t>63% of the total number of people living below the poverty line are employed</w:t>
      </w:r>
      <w:r w:rsidRPr="006D4AB3">
        <w:rPr>
          <w:rFonts w:ascii="Calibri" w:hAnsi="Calibri"/>
        </w:rPr>
        <w:t>.</w:t>
      </w:r>
      <w:r w:rsidRPr="006D4AB3">
        <w:rPr>
          <w:rStyle w:val="EndnoteReference"/>
          <w:rFonts w:ascii="Calibri" w:hAnsi="Calibri"/>
        </w:rPr>
        <w:endnoteReference w:id="9"/>
      </w:r>
      <w:r w:rsidRPr="006D4AB3">
        <w:rPr>
          <w:rFonts w:ascii="Calibri" w:hAnsi="Calibri"/>
        </w:rPr>
        <w:t xml:space="preserve"> </w:t>
      </w:r>
      <w:r w:rsidR="00FF2928">
        <w:rPr>
          <w:rFonts w:ascii="Calibri" w:hAnsi="Calibri"/>
        </w:rPr>
        <w:t xml:space="preserve">Household </w:t>
      </w:r>
      <w:r w:rsidR="00033747">
        <w:rPr>
          <w:rFonts w:ascii="Calibri" w:hAnsi="Calibri"/>
        </w:rPr>
        <w:t>income for people in the lowest income-decile has</w:t>
      </w:r>
      <w:r w:rsidR="006A6B52">
        <w:rPr>
          <w:rFonts w:ascii="Calibri" w:hAnsi="Calibri"/>
        </w:rPr>
        <w:t xml:space="preserve"> remained stagnant since 2003</w:t>
      </w:r>
      <w:r w:rsidR="00FF2928">
        <w:rPr>
          <w:rFonts w:ascii="Calibri" w:hAnsi="Calibri"/>
        </w:rPr>
        <w:t xml:space="preserve"> – </w:t>
      </w:r>
      <w:r w:rsidR="006A6B52">
        <w:rPr>
          <w:rFonts w:ascii="Calibri" w:hAnsi="Calibri"/>
        </w:rPr>
        <w:t>predating and including the recession.</w:t>
      </w:r>
      <w:r w:rsidR="006A6B52">
        <w:rPr>
          <w:rStyle w:val="EndnoteReference"/>
          <w:rFonts w:ascii="Calibri" w:hAnsi="Calibri"/>
        </w:rPr>
        <w:endnoteReference w:id="10"/>
      </w:r>
    </w:p>
    <w:p w14:paraId="4A52F457" w14:textId="77777777" w:rsidR="00506EFF" w:rsidRPr="006D4AB3" w:rsidRDefault="00506EFF" w:rsidP="0065383A">
      <w:pPr>
        <w:ind w:left="720"/>
        <w:rPr>
          <w:rFonts w:ascii="Calibri" w:hAnsi="Calibri"/>
        </w:rPr>
      </w:pPr>
      <w:r w:rsidRPr="006D4AB3">
        <w:rPr>
          <w:rFonts w:ascii="Calibri" w:hAnsi="Calibri"/>
        </w:rPr>
        <w:t xml:space="preserve">In the period since the Pre-Sessional Working Group met in October 2015 a new </w:t>
      </w:r>
      <w:r w:rsidRPr="006D4AB3">
        <w:rPr>
          <w:rFonts w:ascii="Calibri" w:hAnsi="Calibri"/>
          <w:i/>
        </w:rPr>
        <w:t xml:space="preserve">National Living Wage </w:t>
      </w:r>
      <w:r w:rsidRPr="006D4AB3">
        <w:rPr>
          <w:rFonts w:ascii="Calibri" w:hAnsi="Calibri"/>
        </w:rPr>
        <w:t xml:space="preserve">(NLW) has been introduced at £7.20 an hour. This is still significantly below the real </w:t>
      </w:r>
      <w:r w:rsidRPr="006D4AB3">
        <w:rPr>
          <w:rFonts w:ascii="Calibri" w:hAnsi="Calibri"/>
          <w:i/>
        </w:rPr>
        <w:t>Living Wage</w:t>
      </w:r>
      <w:r w:rsidRPr="006D4AB3">
        <w:rPr>
          <w:rFonts w:ascii="Calibri" w:hAnsi="Calibri"/>
        </w:rPr>
        <w:t xml:space="preserve"> (LW) of £8.25 an hour – the minimum needed to have a socially acceptable standard of living based on the cost of essentials</w:t>
      </w:r>
      <w:r w:rsidR="00F2685D" w:rsidRPr="006D4AB3">
        <w:rPr>
          <w:rFonts w:ascii="Calibri" w:hAnsi="Calibri"/>
        </w:rPr>
        <w:t xml:space="preserve"> calculated independently by the Living Wage Foundation</w:t>
      </w:r>
      <w:r w:rsidRPr="006D4AB3">
        <w:rPr>
          <w:rFonts w:ascii="Calibri" w:hAnsi="Calibri"/>
        </w:rPr>
        <w:t>.</w:t>
      </w:r>
      <w:r w:rsidRPr="006D4AB3">
        <w:rPr>
          <w:rStyle w:val="EndnoteReference"/>
          <w:rFonts w:ascii="Calibri" w:hAnsi="Calibri"/>
        </w:rPr>
        <w:endnoteReference w:id="11"/>
      </w:r>
      <w:r w:rsidRPr="006D4AB3">
        <w:rPr>
          <w:rFonts w:ascii="Calibri" w:hAnsi="Calibri"/>
        </w:rPr>
        <w:t xml:space="preserve"> </w:t>
      </w:r>
    </w:p>
    <w:p w14:paraId="6B748D23" w14:textId="77777777" w:rsidR="00506EFF" w:rsidRPr="006D4AB3" w:rsidRDefault="00506EFF" w:rsidP="0065383A">
      <w:pPr>
        <w:ind w:left="720"/>
        <w:rPr>
          <w:rFonts w:ascii="Calibri" w:hAnsi="Calibri"/>
        </w:rPr>
      </w:pPr>
      <w:r w:rsidRPr="006D4AB3">
        <w:rPr>
          <w:rFonts w:ascii="Calibri" w:hAnsi="Calibri"/>
        </w:rPr>
        <w:t xml:space="preserve">The NLW does not apply to people aged under 25 or apprentices whose pay is regulated by various tiers of the </w:t>
      </w:r>
      <w:r w:rsidRPr="006D4AB3">
        <w:rPr>
          <w:rFonts w:ascii="Calibri" w:hAnsi="Calibri"/>
          <w:i/>
        </w:rPr>
        <w:t>National Minimum Wage</w:t>
      </w:r>
      <w:r w:rsidRPr="006D4AB3">
        <w:rPr>
          <w:rFonts w:ascii="Calibri" w:hAnsi="Calibri"/>
        </w:rPr>
        <w:t xml:space="preserve"> (NMW); £6.70 for people aged 21-24, £5.30 for people aged 18-20, £3.87 for people aged under 18, and £3.30 for apprentices. These low wages fundamentally exploit young people and prevent them from living independently. </w:t>
      </w:r>
    </w:p>
    <w:p w14:paraId="71576841" w14:textId="596BC966" w:rsidR="00506EFF" w:rsidRPr="006D4AB3" w:rsidRDefault="00506EFF" w:rsidP="0065383A">
      <w:pPr>
        <w:ind w:left="720"/>
        <w:rPr>
          <w:rFonts w:ascii="Calibri" w:hAnsi="Calibri"/>
        </w:rPr>
      </w:pPr>
      <w:r w:rsidRPr="006D4AB3">
        <w:rPr>
          <w:rFonts w:ascii="Calibri" w:hAnsi="Calibri"/>
        </w:rPr>
        <w:t xml:space="preserve">The difference between the monthly take home pay of someone working full time on the NLW versus someone on the LW after tax and national insurance contributions is £108 – </w:t>
      </w:r>
      <w:r w:rsidR="009C68DB">
        <w:rPr>
          <w:rFonts w:ascii="Calibri" w:hAnsi="Calibri"/>
          <w:b/>
        </w:rPr>
        <w:t>this impacts directly on non-fixed expenditure including food, resulting in people with low income regularly eating less and trading down on nutritional quality</w:t>
      </w:r>
      <w:r w:rsidRPr="00530664">
        <w:rPr>
          <w:rFonts w:ascii="Calibri" w:hAnsi="Calibri"/>
          <w:b/>
        </w:rPr>
        <w:t>.</w:t>
      </w:r>
      <w:r w:rsidRPr="006D4AB3">
        <w:rPr>
          <w:rStyle w:val="EndnoteReference"/>
          <w:rFonts w:ascii="Calibri" w:hAnsi="Calibri"/>
        </w:rPr>
        <w:endnoteReference w:id="12"/>
      </w:r>
      <w:r w:rsidRPr="006D4AB3">
        <w:rPr>
          <w:rFonts w:ascii="Calibri" w:hAnsi="Calibri"/>
        </w:rPr>
        <w:t xml:space="preserve"> A single person without dependents on the NLW will still be entitled to </w:t>
      </w:r>
      <w:r w:rsidRPr="006D4AB3">
        <w:rPr>
          <w:rFonts w:ascii="Calibri" w:hAnsi="Calibri"/>
          <w:i/>
        </w:rPr>
        <w:t>Working Tax Credit</w:t>
      </w:r>
      <w:r w:rsidRPr="006D4AB3">
        <w:rPr>
          <w:rFonts w:ascii="Calibri" w:hAnsi="Calibri"/>
        </w:rPr>
        <w:t xml:space="preserve"> – an in-work benefit </w:t>
      </w:r>
      <w:r w:rsidR="00C90B34" w:rsidRPr="006D4AB3">
        <w:rPr>
          <w:rFonts w:ascii="Calibri" w:hAnsi="Calibri"/>
        </w:rPr>
        <w:t>topping</w:t>
      </w:r>
      <w:r w:rsidRPr="006D4AB3">
        <w:rPr>
          <w:rFonts w:ascii="Calibri" w:hAnsi="Calibri"/>
        </w:rPr>
        <w:t xml:space="preserve"> up low wages, effectively subsidising low paying employers.</w:t>
      </w:r>
    </w:p>
    <w:p w14:paraId="41477F39" w14:textId="77777777" w:rsidR="00506EFF" w:rsidRPr="006D4AB3" w:rsidRDefault="00506EFF" w:rsidP="0065383A">
      <w:pPr>
        <w:ind w:left="720"/>
        <w:rPr>
          <w:rFonts w:ascii="Calibri" w:hAnsi="Calibri"/>
        </w:rPr>
      </w:pPr>
      <w:r w:rsidRPr="006D4AB3">
        <w:rPr>
          <w:rFonts w:ascii="Calibri" w:hAnsi="Calibri"/>
          <w:b/>
        </w:rPr>
        <w:t>The number of people earning below the LW in the UK last year was 6 million – equating to a fifth of the workforce</w:t>
      </w:r>
      <w:r w:rsidRPr="006D4AB3">
        <w:rPr>
          <w:rFonts w:ascii="Calibri" w:hAnsi="Calibri"/>
        </w:rPr>
        <w:t>.</w:t>
      </w:r>
      <w:r w:rsidRPr="006D4AB3">
        <w:rPr>
          <w:rStyle w:val="EndnoteReference"/>
          <w:rFonts w:ascii="Calibri" w:hAnsi="Calibri"/>
        </w:rPr>
        <w:endnoteReference w:id="13"/>
      </w:r>
      <w:r w:rsidRPr="006D4AB3">
        <w:rPr>
          <w:rFonts w:ascii="Calibri" w:hAnsi="Calibri"/>
        </w:rPr>
        <w:t xml:space="preserve"> There is a significant gender gap in this respect; 29% of women are paid less than the LW compared to 18% of men. Many of the people earning very low wages work in the food and drink industry; 70% of people working in hospitality and catering, and 35% of people working in agriculture, forestry and fishing earn less than the LW.</w:t>
      </w:r>
      <w:r w:rsidRPr="006D4AB3">
        <w:rPr>
          <w:rStyle w:val="EndnoteReference"/>
          <w:rFonts w:ascii="Calibri" w:hAnsi="Calibri"/>
        </w:rPr>
        <w:endnoteReference w:id="14"/>
      </w:r>
      <w:r w:rsidRPr="006D4AB3">
        <w:rPr>
          <w:rFonts w:ascii="Calibri" w:hAnsi="Calibri"/>
        </w:rPr>
        <w:t xml:space="preserve"> </w:t>
      </w:r>
    </w:p>
    <w:p w14:paraId="6EE8800D" w14:textId="78438F34" w:rsidR="00506EFF" w:rsidRPr="006D4AB3" w:rsidRDefault="00506EFF" w:rsidP="0065383A">
      <w:pPr>
        <w:ind w:left="720"/>
        <w:rPr>
          <w:rFonts w:ascii="Calibri" w:hAnsi="Calibri"/>
        </w:rPr>
      </w:pPr>
      <w:r w:rsidRPr="006D4AB3">
        <w:rPr>
          <w:rFonts w:ascii="Calibri" w:hAnsi="Calibri"/>
        </w:rPr>
        <w:t>Whilst unemployment has been falling in the UK this is overwhelming</w:t>
      </w:r>
      <w:r w:rsidR="001E1E3F">
        <w:rPr>
          <w:rFonts w:ascii="Calibri" w:hAnsi="Calibri"/>
        </w:rPr>
        <w:t>ly</w:t>
      </w:r>
      <w:r w:rsidRPr="006D4AB3">
        <w:rPr>
          <w:rFonts w:ascii="Calibri" w:hAnsi="Calibri"/>
        </w:rPr>
        <w:t xml:space="preserve"> due </w:t>
      </w:r>
      <w:r w:rsidR="00295549">
        <w:rPr>
          <w:rFonts w:ascii="Calibri" w:hAnsi="Calibri"/>
        </w:rPr>
        <w:t xml:space="preserve">to </w:t>
      </w:r>
      <w:r w:rsidRPr="006D4AB3">
        <w:rPr>
          <w:rFonts w:ascii="Calibri" w:hAnsi="Calibri"/>
        </w:rPr>
        <w:t xml:space="preserve">people taking up </w:t>
      </w:r>
      <w:r w:rsidRPr="006D4AB3">
        <w:rPr>
          <w:rFonts w:ascii="Calibri" w:hAnsi="Calibri"/>
          <w:b/>
        </w:rPr>
        <w:t>part-time work</w:t>
      </w:r>
      <w:r w:rsidRPr="006D4AB3">
        <w:rPr>
          <w:rFonts w:ascii="Calibri" w:hAnsi="Calibri"/>
        </w:rPr>
        <w:t xml:space="preserve"> –</w:t>
      </w:r>
      <w:r w:rsidR="00F1051E" w:rsidRPr="006D4AB3">
        <w:rPr>
          <w:rFonts w:ascii="Calibri" w:hAnsi="Calibri"/>
        </w:rPr>
        <w:t xml:space="preserve"> there are now</w:t>
      </w:r>
      <w:r w:rsidRPr="006D4AB3">
        <w:rPr>
          <w:rFonts w:ascii="Calibri" w:hAnsi="Calibri"/>
        </w:rPr>
        <w:t xml:space="preserve"> 8.35</w:t>
      </w:r>
      <w:r w:rsidR="002B679D">
        <w:rPr>
          <w:rFonts w:ascii="Calibri" w:hAnsi="Calibri"/>
        </w:rPr>
        <w:t xml:space="preserve"> </w:t>
      </w:r>
      <w:r w:rsidRPr="006D4AB3">
        <w:rPr>
          <w:rFonts w:ascii="Calibri" w:hAnsi="Calibri"/>
        </w:rPr>
        <w:t>milli</w:t>
      </w:r>
      <w:r w:rsidR="00F1051E" w:rsidRPr="006D4AB3">
        <w:rPr>
          <w:rFonts w:ascii="Calibri" w:hAnsi="Calibri"/>
        </w:rPr>
        <w:t>on part-time workers.</w:t>
      </w:r>
      <w:r w:rsidRPr="006D4AB3">
        <w:rPr>
          <w:rFonts w:ascii="Calibri" w:hAnsi="Calibri"/>
        </w:rPr>
        <w:t xml:space="preserve"> There is a significant gender gap here too, with 6.15 million women compared to 2.2 million men.</w:t>
      </w:r>
      <w:r w:rsidRPr="006D4AB3">
        <w:rPr>
          <w:rStyle w:val="EndnoteReference"/>
          <w:rFonts w:ascii="Calibri" w:hAnsi="Calibri"/>
        </w:rPr>
        <w:endnoteReference w:id="15"/>
      </w:r>
      <w:r w:rsidRPr="006D4AB3">
        <w:rPr>
          <w:rFonts w:ascii="Calibri" w:hAnsi="Calibri"/>
        </w:rPr>
        <w:t xml:space="preserve"> In addition, 744,000 people are believed to be working on </w:t>
      </w:r>
      <w:proofErr w:type="gramStart"/>
      <w:r w:rsidRPr="006D4AB3">
        <w:rPr>
          <w:rFonts w:ascii="Calibri" w:hAnsi="Calibri"/>
        </w:rPr>
        <w:t>zero-hours</w:t>
      </w:r>
      <w:proofErr w:type="gramEnd"/>
      <w:r w:rsidRPr="006D4AB3">
        <w:rPr>
          <w:rFonts w:ascii="Calibri" w:hAnsi="Calibri"/>
        </w:rPr>
        <w:t xml:space="preserve"> contracts (this is 2.4% of the workforce and disproportionately women) with no certainty as to how many hours they will work in a week.</w:t>
      </w:r>
      <w:r w:rsidRPr="006D4AB3">
        <w:rPr>
          <w:rStyle w:val="EndnoteReference"/>
          <w:rFonts w:ascii="Calibri" w:hAnsi="Calibri"/>
        </w:rPr>
        <w:endnoteReference w:id="16"/>
      </w:r>
      <w:r w:rsidRPr="006D4AB3">
        <w:rPr>
          <w:rFonts w:ascii="Calibri" w:hAnsi="Calibri"/>
        </w:rPr>
        <w:t xml:space="preserve">  </w:t>
      </w:r>
    </w:p>
    <w:p w14:paraId="68856476" w14:textId="77777777" w:rsidR="00506EFF" w:rsidRPr="00877FE4" w:rsidRDefault="00506EFF" w:rsidP="0065383A">
      <w:pPr>
        <w:ind w:left="720"/>
        <w:rPr>
          <w:rFonts w:ascii="Calibri" w:hAnsi="Calibri"/>
          <w:color w:val="3366FF"/>
        </w:rPr>
      </w:pPr>
      <w:r w:rsidRPr="00877FE4">
        <w:rPr>
          <w:rFonts w:ascii="Calibri" w:hAnsi="Calibri"/>
          <w:color w:val="3366FF"/>
        </w:rPr>
        <w:t>Wages are reserved to Westminster, preventing the Scottish Government from legislating for the LW. The Scottish Government have incentivised the LW through Scottish Business Pledge and by funding the Poverty Alliance to promote Living Wage Accreditation, with 531 Living Wage Employers now accredited. However, 19% of people employed in Scotland still earn below the LW – 445,000 people. Recent research has highlighted that an hourly rate that covers basic needs such as food is the most important factor for decent work in Scotland.</w:t>
      </w:r>
      <w:r w:rsidRPr="00877FE4">
        <w:rPr>
          <w:rStyle w:val="EndnoteReference"/>
          <w:rFonts w:ascii="Calibri" w:hAnsi="Calibri"/>
          <w:color w:val="3366FF"/>
        </w:rPr>
        <w:endnoteReference w:id="17"/>
      </w:r>
    </w:p>
    <w:p w14:paraId="606BF8E1" w14:textId="77777777" w:rsidR="00506EFF" w:rsidRPr="006D4AB3" w:rsidRDefault="00506EFF">
      <w:pPr>
        <w:rPr>
          <w:rFonts w:ascii="Calibri" w:hAnsi="Calibri"/>
          <w:b/>
        </w:rPr>
      </w:pPr>
      <w:r w:rsidRPr="006D4AB3">
        <w:rPr>
          <w:rFonts w:ascii="Calibri" w:hAnsi="Calibri"/>
          <w:b/>
        </w:rPr>
        <w:tab/>
      </w:r>
      <w:r w:rsidRPr="006D4AB3">
        <w:rPr>
          <w:rFonts w:ascii="Calibri" w:hAnsi="Calibri"/>
          <w:b/>
        </w:rPr>
        <w:tab/>
      </w:r>
    </w:p>
    <w:p w14:paraId="2937ACCD" w14:textId="7840D4E5" w:rsidR="00A063D3" w:rsidRPr="006D4AB3" w:rsidRDefault="00A063D3" w:rsidP="00A063D3">
      <w:pPr>
        <w:ind w:left="2160" w:hanging="2160"/>
        <w:rPr>
          <w:rFonts w:ascii="Calibri" w:hAnsi="Calibri"/>
        </w:rPr>
      </w:pPr>
      <w:r w:rsidRPr="006D4AB3">
        <w:rPr>
          <w:rFonts w:ascii="Calibri" w:hAnsi="Calibri"/>
          <w:b/>
        </w:rPr>
        <w:t>Recommendation 3:</w:t>
      </w:r>
      <w:r w:rsidRPr="006D4AB3">
        <w:rPr>
          <w:rFonts w:ascii="Calibri" w:hAnsi="Calibri"/>
        </w:rPr>
        <w:t xml:space="preserve"> </w:t>
      </w:r>
      <w:r w:rsidRPr="006D4AB3">
        <w:rPr>
          <w:rFonts w:ascii="Calibri" w:hAnsi="Calibri"/>
        </w:rPr>
        <w:tab/>
        <w:t>Raise all tiers of the National Minimum Wage and the</w:t>
      </w:r>
      <w:r w:rsidR="001E1E3F">
        <w:rPr>
          <w:rFonts w:ascii="Calibri" w:hAnsi="Calibri"/>
        </w:rPr>
        <w:t xml:space="preserve"> National</w:t>
      </w:r>
      <w:r w:rsidRPr="006D4AB3">
        <w:rPr>
          <w:rFonts w:ascii="Calibri" w:hAnsi="Calibri"/>
        </w:rPr>
        <w:t xml:space="preserve"> Living Wage to the real Living Wage enabling all citizens to have financial access to food with dignity and choice. The real Living Wage should continue to be independently calculated according to the Minimum Income Standard – the minimum needed to have a socially acceptable standard of living, its implementation should be monitored, and prosecutions brought for non-compliance. </w:t>
      </w:r>
    </w:p>
    <w:p w14:paraId="57ECFEE0" w14:textId="77777777" w:rsidR="00A063D3" w:rsidRPr="006D4AB3" w:rsidRDefault="00A063D3">
      <w:pPr>
        <w:rPr>
          <w:rFonts w:ascii="Calibri" w:hAnsi="Calibri"/>
          <w:b/>
        </w:rPr>
      </w:pPr>
    </w:p>
    <w:p w14:paraId="638CA435" w14:textId="77777777" w:rsidR="00506EFF" w:rsidRPr="006D4AB3" w:rsidRDefault="005C0F44" w:rsidP="0065383A">
      <w:pPr>
        <w:ind w:firstLine="720"/>
        <w:rPr>
          <w:rFonts w:ascii="Calibri" w:hAnsi="Calibri"/>
          <w:b/>
        </w:rPr>
      </w:pPr>
      <w:r w:rsidRPr="006D4AB3">
        <w:rPr>
          <w:rFonts w:ascii="Calibri" w:hAnsi="Calibri"/>
          <w:noProof/>
          <w:color w:val="FF0000"/>
          <w:lang w:val="en-US"/>
        </w:rPr>
        <w:lastRenderedPageBreak/>
        <mc:AlternateContent>
          <mc:Choice Requires="wps">
            <w:drawing>
              <wp:anchor distT="0" distB="0" distL="114300" distR="114300" simplePos="0" relativeHeight="251668480" behindDoc="0" locked="0" layoutInCell="1" allowOverlap="1" wp14:anchorId="65516AEC" wp14:editId="7F7FB9DF">
                <wp:simplePos x="0" y="0"/>
                <wp:positionH relativeFrom="margin">
                  <wp:posOffset>0</wp:posOffset>
                </wp:positionH>
                <wp:positionV relativeFrom="paragraph">
                  <wp:posOffset>0</wp:posOffset>
                </wp:positionV>
                <wp:extent cx="0" cy="9025246"/>
                <wp:effectExtent l="0" t="0" r="25400" b="0"/>
                <wp:wrapNone/>
                <wp:docPr id="8" name="Straight Connector 8"/>
                <wp:cNvGraphicFramePr/>
                <a:graphic xmlns:a="http://schemas.openxmlformats.org/drawingml/2006/main">
                  <a:graphicData uri="http://schemas.microsoft.com/office/word/2010/wordprocessingShape">
                    <wps:wsp>
                      <wps:cNvCnPr/>
                      <wps:spPr>
                        <a:xfrm flipH="1">
                          <a:off x="0" y="0"/>
                          <a:ext cx="0" cy="9025246"/>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115AEC"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0,7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" strokecolor="red" strokeweight="2pt">
                <v:stroke dashstyle="dash" joinstyle="miter"/>
                <w10:wrap anchorx="margin"/>
              </v:line>
            </w:pict>
          </mc:Fallback>
        </mc:AlternateContent>
      </w:r>
      <w:r w:rsidR="00506EFF" w:rsidRPr="006D4AB3">
        <w:rPr>
          <w:rFonts w:ascii="Calibri" w:hAnsi="Calibri"/>
          <w:b/>
        </w:rPr>
        <w:t>Social security:</w:t>
      </w:r>
    </w:p>
    <w:p w14:paraId="25847965" w14:textId="77777777" w:rsidR="00506EFF" w:rsidRPr="006D4AB3" w:rsidRDefault="00506EFF" w:rsidP="0065383A">
      <w:pPr>
        <w:ind w:left="720"/>
        <w:rPr>
          <w:rFonts w:ascii="Calibri" w:hAnsi="Calibri"/>
        </w:rPr>
      </w:pPr>
      <w:r w:rsidRPr="006D4AB3">
        <w:rPr>
          <w:rFonts w:ascii="Calibri" w:hAnsi="Calibri"/>
        </w:rPr>
        <w:t xml:space="preserve">The UK Government has dramatically reformed social security over the reporting period. The majority of these reforms have negatively impacted on financially vulnerable and marginalised people, pushing many into food insecurity and even destitution. </w:t>
      </w:r>
    </w:p>
    <w:p w14:paraId="6631DFFF" w14:textId="77777777" w:rsidR="00506EFF" w:rsidRPr="006D4AB3" w:rsidRDefault="00506EFF" w:rsidP="0065383A">
      <w:pPr>
        <w:ind w:left="720"/>
        <w:rPr>
          <w:rFonts w:ascii="Calibri" w:hAnsi="Calibri"/>
        </w:rPr>
      </w:pPr>
      <w:r w:rsidRPr="006D4AB3">
        <w:rPr>
          <w:rFonts w:ascii="Calibri" w:hAnsi="Calibri"/>
        </w:rPr>
        <w:t>The UK’s social security system has historically been confusing and payments too low to cover the essentials needed. However, recent reforms have increased the complexity, reduced most of the payments, and shifted from a system based on entitlement and security to one based on conditionality and insecurity.</w:t>
      </w:r>
    </w:p>
    <w:p w14:paraId="226B1E58" w14:textId="043C490B" w:rsidR="00506EFF" w:rsidRPr="006D4AB3" w:rsidRDefault="00506EFF" w:rsidP="0065383A">
      <w:pPr>
        <w:ind w:left="720"/>
        <w:rPr>
          <w:rFonts w:ascii="Calibri" w:hAnsi="Calibri"/>
        </w:rPr>
      </w:pPr>
      <w:r w:rsidRPr="006D4AB3">
        <w:rPr>
          <w:rFonts w:ascii="Calibri" w:hAnsi="Calibri"/>
        </w:rPr>
        <w:t>Whilst the method of delivering a social security system is at the discretion of government, the UK Government’s approach has so greatly undermined the right to social security that a large number of people who are eligible and greatly needing support have been excluded.</w:t>
      </w:r>
      <w:r w:rsidRPr="006D4AB3">
        <w:rPr>
          <w:rStyle w:val="EndnoteReference"/>
          <w:rFonts w:ascii="Calibri" w:hAnsi="Calibri"/>
        </w:rPr>
        <w:endnoteReference w:id="18"/>
      </w:r>
      <w:r w:rsidRPr="006D4AB3">
        <w:rPr>
          <w:rFonts w:ascii="Calibri" w:hAnsi="Calibri"/>
        </w:rPr>
        <w:t xml:space="preserve"> The Government has created a narrative in which people claiming social security are demonised as undeserving, deceitful, and a drain on the economy; the misinformation and intolerance coupled with a significant reduction in actual support now perversely results on more people exiting the social security system than finding work through it.</w:t>
      </w:r>
      <w:r w:rsidRPr="006D4AB3">
        <w:rPr>
          <w:rStyle w:val="EndnoteReference"/>
          <w:rFonts w:ascii="Calibri" w:hAnsi="Calibri"/>
        </w:rPr>
        <w:endnoteReference w:id="19"/>
      </w:r>
      <w:r w:rsidRPr="006D4AB3">
        <w:rPr>
          <w:rFonts w:ascii="Calibri" w:hAnsi="Calibri"/>
        </w:rPr>
        <w:t xml:space="preserve"> </w:t>
      </w:r>
      <w:r w:rsidRPr="006D4AB3">
        <w:rPr>
          <w:rFonts w:ascii="Calibri" w:hAnsi="Calibri"/>
          <w:b/>
        </w:rPr>
        <w:t>Rather than supporting people back in to meaningful work</w:t>
      </w:r>
      <w:r w:rsidR="002B679D">
        <w:rPr>
          <w:rFonts w:ascii="Calibri" w:hAnsi="Calibri"/>
          <w:b/>
        </w:rPr>
        <w:t>,</w:t>
      </w:r>
      <w:r w:rsidRPr="006D4AB3">
        <w:rPr>
          <w:rFonts w:ascii="Calibri" w:hAnsi="Calibri"/>
          <w:b/>
        </w:rPr>
        <w:t xml:space="preserve"> or supporting them to live with dignity</w:t>
      </w:r>
      <w:r w:rsidR="002B679D">
        <w:rPr>
          <w:rFonts w:ascii="Calibri" w:hAnsi="Calibri"/>
          <w:b/>
        </w:rPr>
        <w:t>,</w:t>
      </w:r>
      <w:r w:rsidRPr="006D4AB3">
        <w:rPr>
          <w:rFonts w:ascii="Calibri" w:hAnsi="Calibri"/>
          <w:b/>
        </w:rPr>
        <w:t xml:space="preserve"> if they are unable to work the social security system in the UK now frightens and abandons people at their most vulnerable.</w:t>
      </w:r>
    </w:p>
    <w:p w14:paraId="0277CE3E" w14:textId="77777777" w:rsidR="00506EFF" w:rsidRPr="006D4AB3" w:rsidRDefault="00506EFF" w:rsidP="00506EFF">
      <w:pPr>
        <w:ind w:left="720"/>
        <w:rPr>
          <w:rFonts w:ascii="Calibri" w:hAnsi="Calibri"/>
          <w:i/>
        </w:rPr>
      </w:pPr>
      <w:r w:rsidRPr="00877FE4">
        <w:rPr>
          <w:rFonts w:ascii="Calibri" w:hAnsi="Calibri"/>
          <w:color w:val="3366FF"/>
        </w:rPr>
        <w:t>In Scotland, new social security powers have just been allocated for devolution by the Scotland Act 2016, this includes control over the unemployed benefit work programs, disability benefits, discretionary welfare payments, discretionary housing benefits, the Regulated Social Fund, and the power to top-up benefits and create new benefits. When fully devolved this will give the Scottish Government significant power to reverse the social security cuts implemented by Westminster. The Scottish Government has committed to establishing a new agency to deliver social security, and senior cabinet ministers have promised to make the principles of dignity and fairness sit at the core of the new system.</w:t>
      </w:r>
      <w:r w:rsidRPr="00877FE4">
        <w:rPr>
          <w:rStyle w:val="EndnoteReference"/>
          <w:rFonts w:ascii="Calibri" w:hAnsi="Calibri"/>
          <w:color w:val="3366FF"/>
        </w:rPr>
        <w:endnoteReference w:id="20"/>
      </w:r>
      <w:r w:rsidRPr="006D4AB3">
        <w:rPr>
          <w:rFonts w:ascii="Calibri" w:hAnsi="Calibri"/>
          <w:color w:val="0070C0"/>
        </w:rPr>
        <w:t xml:space="preserve"> </w:t>
      </w:r>
      <w:r w:rsidR="005E6374">
        <w:rPr>
          <w:rFonts w:ascii="Calibri" w:hAnsi="Calibri"/>
          <w:color w:val="0070C0"/>
        </w:rPr>
        <w:br/>
        <w:t xml:space="preserve"> </w:t>
      </w:r>
      <w:r w:rsidR="005E6374">
        <w:rPr>
          <w:rFonts w:ascii="Calibri" w:hAnsi="Calibri"/>
          <w:color w:val="0070C0"/>
        </w:rPr>
        <w:tab/>
      </w:r>
      <w:r w:rsidR="005E6374">
        <w:rPr>
          <w:rFonts w:ascii="Calibri" w:hAnsi="Calibri"/>
          <w:color w:val="0070C0"/>
        </w:rPr>
        <w:tab/>
      </w:r>
      <w:r w:rsidR="005E6374">
        <w:rPr>
          <w:rFonts w:ascii="Calibri" w:hAnsi="Calibri"/>
          <w:color w:val="0070C0"/>
        </w:rPr>
        <w:tab/>
      </w:r>
      <w:r w:rsidR="005E6374">
        <w:rPr>
          <w:rFonts w:ascii="Calibri" w:hAnsi="Calibri"/>
          <w:color w:val="0070C0"/>
        </w:rPr>
        <w:tab/>
      </w:r>
      <w:r w:rsidR="005E6374">
        <w:rPr>
          <w:rFonts w:ascii="Calibri" w:hAnsi="Calibri"/>
          <w:color w:val="0070C0"/>
        </w:rPr>
        <w:tab/>
      </w:r>
      <w:r w:rsidR="005E6374">
        <w:rPr>
          <w:rFonts w:ascii="Calibri" w:hAnsi="Calibri"/>
          <w:color w:val="0070C0"/>
        </w:rPr>
        <w:tab/>
      </w:r>
      <w:r w:rsidR="005E6374">
        <w:rPr>
          <w:rFonts w:ascii="Calibri" w:hAnsi="Calibri"/>
          <w:color w:val="0070C0"/>
        </w:rPr>
        <w:tab/>
      </w:r>
      <w:r w:rsidR="005E6374">
        <w:rPr>
          <w:rFonts w:ascii="Calibri" w:hAnsi="Calibri"/>
          <w:color w:val="0070C0"/>
        </w:rPr>
        <w:tab/>
      </w:r>
      <w:r w:rsidRPr="006D4AB3">
        <w:rPr>
          <w:rFonts w:ascii="Calibri" w:hAnsi="Calibri"/>
          <w:i/>
        </w:rPr>
        <w:t xml:space="preserve">- </w:t>
      </w:r>
      <w:proofErr w:type="gramStart"/>
      <w:r w:rsidRPr="006D4AB3">
        <w:rPr>
          <w:rFonts w:ascii="Calibri" w:hAnsi="Calibri"/>
          <w:i/>
        </w:rPr>
        <w:t>see</w:t>
      </w:r>
      <w:proofErr w:type="gramEnd"/>
      <w:r w:rsidRPr="006D4AB3">
        <w:rPr>
          <w:rFonts w:ascii="Calibri" w:hAnsi="Calibri"/>
          <w:i/>
        </w:rPr>
        <w:t xml:space="preserve"> appendices for a visual overview.</w:t>
      </w:r>
    </w:p>
    <w:p w14:paraId="492FE3CF" w14:textId="77777777" w:rsidR="00506EFF" w:rsidRPr="006D4AB3" w:rsidRDefault="00506EFF" w:rsidP="0065383A">
      <w:pPr>
        <w:ind w:left="720"/>
        <w:rPr>
          <w:rFonts w:ascii="Calibri" w:hAnsi="Calibri"/>
          <w:color w:val="0070C0"/>
        </w:rPr>
      </w:pPr>
    </w:p>
    <w:p w14:paraId="4D435A63" w14:textId="77777777" w:rsidR="00506EFF" w:rsidRPr="006D4AB3" w:rsidRDefault="006D4AB3" w:rsidP="00F13CA4">
      <w:pPr>
        <w:ind w:firstLine="720"/>
        <w:rPr>
          <w:rFonts w:ascii="Calibri" w:hAnsi="Calibri"/>
          <w:b/>
        </w:rPr>
      </w:pPr>
      <w:r>
        <w:rPr>
          <w:rFonts w:ascii="Calibri" w:hAnsi="Calibri"/>
          <w:b/>
        </w:rPr>
        <w:t>An o</w:t>
      </w:r>
      <w:r w:rsidR="00506EFF" w:rsidRPr="006D4AB3">
        <w:rPr>
          <w:rFonts w:ascii="Calibri" w:hAnsi="Calibri"/>
          <w:b/>
        </w:rPr>
        <w:t>verview of some of the most significant social security reforms made over reporting period</w:t>
      </w:r>
      <w:proofErr w:type="gramStart"/>
      <w:r w:rsidR="00506EFF" w:rsidRPr="006D4AB3">
        <w:rPr>
          <w:rFonts w:ascii="Calibri" w:hAnsi="Calibri"/>
          <w:b/>
        </w:rPr>
        <w:t>;</w:t>
      </w:r>
      <w:proofErr w:type="gramEnd"/>
    </w:p>
    <w:p w14:paraId="2BEF5ECF" w14:textId="77777777" w:rsidR="00FE5112" w:rsidRPr="006D4AB3" w:rsidRDefault="006D4AB3" w:rsidP="00FE5112">
      <w:pPr>
        <w:ind w:left="720"/>
        <w:rPr>
          <w:rFonts w:ascii="Calibri" w:hAnsi="Calibri"/>
          <w:b/>
        </w:rPr>
      </w:pPr>
      <w:r w:rsidRPr="006D4AB3">
        <w:rPr>
          <w:rFonts w:ascii="Calibri" w:hAnsi="Calibri"/>
          <w:b/>
          <w:noProof/>
          <w:lang w:val="en-US"/>
        </w:rPr>
        <mc:AlternateContent>
          <mc:Choice Requires="wps">
            <w:drawing>
              <wp:anchor distT="0" distB="0" distL="114300" distR="114300" simplePos="0" relativeHeight="251662336" behindDoc="1" locked="0" layoutInCell="1" allowOverlap="1" wp14:anchorId="620A8D8E" wp14:editId="49E57001">
                <wp:simplePos x="0" y="0"/>
                <wp:positionH relativeFrom="margin">
                  <wp:posOffset>457200</wp:posOffset>
                </wp:positionH>
                <wp:positionV relativeFrom="paragraph">
                  <wp:posOffset>51435</wp:posOffset>
                </wp:positionV>
                <wp:extent cx="6057900" cy="3200400"/>
                <wp:effectExtent l="0" t="0" r="38100" b="25400"/>
                <wp:wrapTight wrapText="bothSides">
                  <wp:wrapPolygon edited="0">
                    <wp:start x="0" y="0"/>
                    <wp:lineTo x="0" y="21600"/>
                    <wp:lineTo x="21645" y="21600"/>
                    <wp:lineTo x="2164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057900"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BC997" w14:textId="77777777" w:rsidR="002B679D" w:rsidRPr="006D4AB3" w:rsidRDefault="002B679D" w:rsidP="00EE5297">
                            <w:pPr>
                              <w:rPr>
                                <w:rFonts w:ascii="Calibri" w:hAnsi="Calibri"/>
                              </w:rPr>
                            </w:pPr>
                            <w:r w:rsidRPr="006D4AB3">
                              <w:rPr>
                                <w:rFonts w:ascii="Calibri" w:hAnsi="Calibri"/>
                                <w:u w:val="single"/>
                              </w:rPr>
                              <w:t>The Welfare Reform Act 2012;</w:t>
                            </w:r>
                            <w:r w:rsidRPr="006D4AB3">
                              <w:rPr>
                                <w:rFonts w:ascii="Calibri" w:hAnsi="Calibri"/>
                              </w:rPr>
                              <w:t xml:space="preserve"> made dramatic changes across social security in the UK, including:</w:t>
                            </w:r>
                          </w:p>
                          <w:p w14:paraId="12E14FAB"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The introduction of a </w:t>
                            </w:r>
                            <w:r w:rsidRPr="006D4AB3">
                              <w:rPr>
                                <w:rFonts w:ascii="Calibri" w:hAnsi="Calibri"/>
                                <w:b/>
                              </w:rPr>
                              <w:t>Claimant Commitment</w:t>
                            </w:r>
                            <w:r w:rsidRPr="006D4AB3">
                              <w:rPr>
                                <w:rFonts w:ascii="Calibri" w:hAnsi="Calibri"/>
                              </w:rPr>
                              <w:t xml:space="preserve"> for unemployment benefit with the imposition of harsh sanctions for failure to comply</w:t>
                            </w:r>
                          </w:p>
                          <w:p w14:paraId="68BA143B"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Abolition of </w:t>
                            </w:r>
                            <w:r w:rsidRPr="006D4AB3">
                              <w:rPr>
                                <w:rFonts w:ascii="Calibri" w:hAnsi="Calibri"/>
                                <w:b/>
                              </w:rPr>
                              <w:t>Disability Living Allowance</w:t>
                            </w:r>
                            <w:r w:rsidRPr="006D4AB3">
                              <w:rPr>
                                <w:rFonts w:ascii="Calibri" w:hAnsi="Calibri"/>
                              </w:rPr>
                              <w:t xml:space="preserve"> which supported disabled people with disability-related living costs, replaced by stricter </w:t>
                            </w:r>
                            <w:r w:rsidRPr="006D4AB3">
                              <w:rPr>
                                <w:rFonts w:ascii="Calibri" w:hAnsi="Calibri"/>
                                <w:b/>
                              </w:rPr>
                              <w:t>Personal Independence Payments</w:t>
                            </w:r>
                          </w:p>
                          <w:p w14:paraId="45A715B7"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Reform of </w:t>
                            </w:r>
                            <w:r w:rsidRPr="006D4AB3">
                              <w:rPr>
                                <w:rFonts w:ascii="Calibri" w:hAnsi="Calibri"/>
                                <w:b/>
                              </w:rPr>
                              <w:t>Housing Benefit</w:t>
                            </w:r>
                            <w:r w:rsidRPr="006D4AB3">
                              <w:rPr>
                                <w:rFonts w:ascii="Calibri" w:hAnsi="Calibri"/>
                              </w:rPr>
                              <w:t xml:space="preserve">, including an </w:t>
                            </w:r>
                            <w:r w:rsidRPr="006D4AB3">
                              <w:rPr>
                                <w:rFonts w:ascii="Calibri" w:hAnsi="Calibri"/>
                                <w:b/>
                              </w:rPr>
                              <w:t>Under-Occupancy Penalty</w:t>
                            </w:r>
                            <w:r w:rsidRPr="006D4AB3">
                              <w:rPr>
                                <w:rFonts w:ascii="Calibri" w:hAnsi="Calibri"/>
                              </w:rPr>
                              <w:t xml:space="preserve">, often referred to as the </w:t>
                            </w:r>
                            <w:r w:rsidRPr="006D4AB3">
                              <w:rPr>
                                <w:rFonts w:ascii="Calibri" w:hAnsi="Calibri"/>
                                <w:b/>
                              </w:rPr>
                              <w:t>bedroom tax</w:t>
                            </w:r>
                            <w:r w:rsidRPr="006D4AB3">
                              <w:rPr>
                                <w:rFonts w:ascii="Calibri" w:hAnsi="Calibri"/>
                              </w:rPr>
                              <w:t xml:space="preserve"> – deducted from payments where the recipient has a ‘spare room’</w:t>
                            </w:r>
                          </w:p>
                          <w:p w14:paraId="35F8F81B"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The introduction of a </w:t>
                            </w:r>
                            <w:r w:rsidRPr="006D4AB3">
                              <w:rPr>
                                <w:rFonts w:ascii="Calibri" w:hAnsi="Calibri"/>
                                <w:b/>
                              </w:rPr>
                              <w:t>household Benefit Cap</w:t>
                            </w:r>
                            <w:r w:rsidRPr="006D4AB3">
                              <w:rPr>
                                <w:rFonts w:ascii="Calibri" w:hAnsi="Calibri"/>
                              </w:rPr>
                              <w:t xml:space="preserve"> limiting the total amount of social security that can be claimed</w:t>
                            </w:r>
                          </w:p>
                          <w:p w14:paraId="2B52E97E"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The introduction of </w:t>
                            </w:r>
                            <w:r w:rsidRPr="006D4AB3">
                              <w:rPr>
                                <w:rFonts w:ascii="Calibri" w:hAnsi="Calibri"/>
                                <w:b/>
                              </w:rPr>
                              <w:t>Universal Credit</w:t>
                            </w:r>
                            <w:r w:rsidRPr="006D4AB3">
                              <w:rPr>
                                <w:rFonts w:ascii="Calibri" w:hAnsi="Calibri"/>
                              </w:rPr>
                              <w:t xml:space="preserve"> – a single social security payment to replace 6 of the main means-tested benefits for low paid and unemployed workers (including Housing Benefit, tax-credits, and unemployment benefits)</w:t>
                            </w:r>
                          </w:p>
                          <w:p w14:paraId="26D45DC4"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Abolition and devolution in unprotected funds of the </w:t>
                            </w:r>
                            <w:r w:rsidRPr="006D4AB3">
                              <w:rPr>
                                <w:rFonts w:ascii="Calibri" w:hAnsi="Calibri"/>
                                <w:b/>
                              </w:rPr>
                              <w:t>Social Fund</w:t>
                            </w:r>
                            <w:r w:rsidRPr="006D4AB3">
                              <w:rPr>
                                <w:rFonts w:ascii="Calibri" w:hAnsi="Calibri"/>
                              </w:rPr>
                              <w:t xml:space="preserve">, making discretionary hardship payments, and </w:t>
                            </w:r>
                            <w:r w:rsidRPr="006D4AB3">
                              <w:rPr>
                                <w:rFonts w:ascii="Calibri" w:hAnsi="Calibri"/>
                                <w:b/>
                              </w:rPr>
                              <w:t>Council Tax Benefit</w:t>
                            </w:r>
                            <w:r w:rsidRPr="006D4AB3">
                              <w:rPr>
                                <w:rFonts w:ascii="Calibri" w:hAnsi="Calibri"/>
                              </w:rPr>
                              <w:t>, reducing the cost to people with low-income.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6pt;margin-top:4.05pt;width:477pt;height:25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" fillcolor="white [3201]" strokeweight=".5pt">
                <v:textbox>
                  <w:txbxContent>
                    <w:p w14:paraId="082BC997" w14:textId="77777777" w:rsidR="002B679D" w:rsidRPr="006D4AB3" w:rsidRDefault="002B679D" w:rsidP="00EE5297">
                      <w:pPr>
                        <w:rPr>
                          <w:rFonts w:ascii="Calibri" w:hAnsi="Calibri"/>
                        </w:rPr>
                      </w:pPr>
                      <w:r w:rsidRPr="006D4AB3">
                        <w:rPr>
                          <w:rFonts w:ascii="Calibri" w:hAnsi="Calibri"/>
                          <w:u w:val="single"/>
                        </w:rPr>
                        <w:t>The Welfare Reform Act 2012;</w:t>
                      </w:r>
                      <w:r w:rsidRPr="006D4AB3">
                        <w:rPr>
                          <w:rFonts w:ascii="Calibri" w:hAnsi="Calibri"/>
                        </w:rPr>
                        <w:t xml:space="preserve"> made dramatic changes across social security in the UK, including:</w:t>
                      </w:r>
                    </w:p>
                    <w:p w14:paraId="12E14FAB"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The introduction of a </w:t>
                      </w:r>
                      <w:r w:rsidRPr="006D4AB3">
                        <w:rPr>
                          <w:rFonts w:ascii="Calibri" w:hAnsi="Calibri"/>
                          <w:b/>
                        </w:rPr>
                        <w:t>Claimant Commitment</w:t>
                      </w:r>
                      <w:r w:rsidRPr="006D4AB3">
                        <w:rPr>
                          <w:rFonts w:ascii="Calibri" w:hAnsi="Calibri"/>
                        </w:rPr>
                        <w:t xml:space="preserve"> for unemployment benefit with the imposition of harsh sanctions for failure to comply</w:t>
                      </w:r>
                    </w:p>
                    <w:p w14:paraId="68BA143B"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Abolition of </w:t>
                      </w:r>
                      <w:r w:rsidRPr="006D4AB3">
                        <w:rPr>
                          <w:rFonts w:ascii="Calibri" w:hAnsi="Calibri"/>
                          <w:b/>
                        </w:rPr>
                        <w:t>Disability Living Allowance</w:t>
                      </w:r>
                      <w:r w:rsidRPr="006D4AB3">
                        <w:rPr>
                          <w:rFonts w:ascii="Calibri" w:hAnsi="Calibri"/>
                        </w:rPr>
                        <w:t xml:space="preserve"> which supported disabled people with disability-related living costs, replaced by stricter </w:t>
                      </w:r>
                      <w:r w:rsidRPr="006D4AB3">
                        <w:rPr>
                          <w:rFonts w:ascii="Calibri" w:hAnsi="Calibri"/>
                          <w:b/>
                        </w:rPr>
                        <w:t>Personal Independence Payments</w:t>
                      </w:r>
                    </w:p>
                    <w:p w14:paraId="45A715B7"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Reform of </w:t>
                      </w:r>
                      <w:r w:rsidRPr="006D4AB3">
                        <w:rPr>
                          <w:rFonts w:ascii="Calibri" w:hAnsi="Calibri"/>
                          <w:b/>
                        </w:rPr>
                        <w:t>Housing Benefit</w:t>
                      </w:r>
                      <w:r w:rsidRPr="006D4AB3">
                        <w:rPr>
                          <w:rFonts w:ascii="Calibri" w:hAnsi="Calibri"/>
                        </w:rPr>
                        <w:t xml:space="preserve">, including an </w:t>
                      </w:r>
                      <w:r w:rsidRPr="006D4AB3">
                        <w:rPr>
                          <w:rFonts w:ascii="Calibri" w:hAnsi="Calibri"/>
                          <w:b/>
                        </w:rPr>
                        <w:t>Under-Occupancy Penalty</w:t>
                      </w:r>
                      <w:r w:rsidRPr="006D4AB3">
                        <w:rPr>
                          <w:rFonts w:ascii="Calibri" w:hAnsi="Calibri"/>
                        </w:rPr>
                        <w:t xml:space="preserve">, often referred to as the </w:t>
                      </w:r>
                      <w:r w:rsidRPr="006D4AB3">
                        <w:rPr>
                          <w:rFonts w:ascii="Calibri" w:hAnsi="Calibri"/>
                          <w:b/>
                        </w:rPr>
                        <w:t>bedroom tax</w:t>
                      </w:r>
                      <w:r w:rsidRPr="006D4AB3">
                        <w:rPr>
                          <w:rFonts w:ascii="Calibri" w:hAnsi="Calibri"/>
                        </w:rPr>
                        <w:t xml:space="preserve"> – deducted from payments where the recipient has a ‘spare room’</w:t>
                      </w:r>
                    </w:p>
                    <w:p w14:paraId="35F8F81B"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The introduction of a </w:t>
                      </w:r>
                      <w:r w:rsidRPr="006D4AB3">
                        <w:rPr>
                          <w:rFonts w:ascii="Calibri" w:hAnsi="Calibri"/>
                          <w:b/>
                        </w:rPr>
                        <w:t>household Benefit Cap</w:t>
                      </w:r>
                      <w:r w:rsidRPr="006D4AB3">
                        <w:rPr>
                          <w:rFonts w:ascii="Calibri" w:hAnsi="Calibri"/>
                        </w:rPr>
                        <w:t xml:space="preserve"> limiting the total amount of social security that can be claimed</w:t>
                      </w:r>
                    </w:p>
                    <w:p w14:paraId="2B52E97E"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The introduction of </w:t>
                      </w:r>
                      <w:r w:rsidRPr="006D4AB3">
                        <w:rPr>
                          <w:rFonts w:ascii="Calibri" w:hAnsi="Calibri"/>
                          <w:b/>
                        </w:rPr>
                        <w:t>Universal Credit</w:t>
                      </w:r>
                      <w:r w:rsidRPr="006D4AB3">
                        <w:rPr>
                          <w:rFonts w:ascii="Calibri" w:hAnsi="Calibri"/>
                        </w:rPr>
                        <w:t xml:space="preserve"> – a single social security payment to replace 6 of the main means-tested benefits for low paid and unemployed workers (including Housing Benefit, tax-credits, and unemployment benefits)</w:t>
                      </w:r>
                    </w:p>
                    <w:p w14:paraId="26D45DC4" w14:textId="77777777" w:rsidR="002B679D" w:rsidRPr="006D4AB3" w:rsidRDefault="002B679D" w:rsidP="00EE5297">
                      <w:pPr>
                        <w:pStyle w:val="ListParagraph"/>
                        <w:numPr>
                          <w:ilvl w:val="0"/>
                          <w:numId w:val="18"/>
                        </w:numPr>
                        <w:spacing w:after="80"/>
                        <w:contextualSpacing w:val="0"/>
                        <w:rPr>
                          <w:rFonts w:ascii="Calibri" w:hAnsi="Calibri"/>
                        </w:rPr>
                      </w:pPr>
                      <w:r w:rsidRPr="006D4AB3">
                        <w:rPr>
                          <w:rFonts w:ascii="Calibri" w:hAnsi="Calibri"/>
                        </w:rPr>
                        <w:t xml:space="preserve">Abolition and devolution in unprotected funds of the </w:t>
                      </w:r>
                      <w:r w:rsidRPr="006D4AB3">
                        <w:rPr>
                          <w:rFonts w:ascii="Calibri" w:hAnsi="Calibri"/>
                          <w:b/>
                        </w:rPr>
                        <w:t>Social Fund</w:t>
                      </w:r>
                      <w:r w:rsidRPr="006D4AB3">
                        <w:rPr>
                          <w:rFonts w:ascii="Calibri" w:hAnsi="Calibri"/>
                        </w:rPr>
                        <w:t xml:space="preserve">, making discretionary hardship payments, and </w:t>
                      </w:r>
                      <w:r w:rsidRPr="006D4AB3">
                        <w:rPr>
                          <w:rFonts w:ascii="Calibri" w:hAnsi="Calibri"/>
                          <w:b/>
                        </w:rPr>
                        <w:t>Council Tax Benefit</w:t>
                      </w:r>
                      <w:r w:rsidRPr="006D4AB3">
                        <w:rPr>
                          <w:rFonts w:ascii="Calibri" w:hAnsi="Calibri"/>
                        </w:rPr>
                        <w:t>, reducing the cost to people with low-income.</w:t>
                      </w:r>
                    </w:p>
                  </w:txbxContent>
                </v:textbox>
                <w10:wrap type="tight" anchorx="margin"/>
              </v:shape>
            </w:pict>
          </mc:Fallback>
        </mc:AlternateContent>
      </w:r>
    </w:p>
    <w:p w14:paraId="1914F2AF" w14:textId="77777777" w:rsidR="00FD237F" w:rsidRPr="006D4AB3" w:rsidRDefault="00FD237F">
      <w:pPr>
        <w:rPr>
          <w:rFonts w:ascii="Calibri" w:hAnsi="Calibri"/>
          <w:b/>
        </w:rPr>
      </w:pPr>
      <w:r w:rsidRPr="006D4AB3">
        <w:rPr>
          <w:rFonts w:ascii="Calibri" w:hAnsi="Calibri"/>
          <w:b/>
        </w:rPr>
        <w:br w:type="page"/>
      </w:r>
    </w:p>
    <w:p w14:paraId="53AEE1FD" w14:textId="77777777" w:rsidR="00506EFF" w:rsidRPr="006D4AB3" w:rsidRDefault="006D4AB3" w:rsidP="00FE5112">
      <w:pPr>
        <w:ind w:left="720"/>
        <w:rPr>
          <w:rFonts w:ascii="Calibri" w:hAnsi="Calibri"/>
        </w:rPr>
      </w:pPr>
      <w:r w:rsidRPr="006D4AB3">
        <w:rPr>
          <w:rFonts w:ascii="Calibri" w:hAnsi="Calibri"/>
          <w:noProof/>
          <w:color w:val="FF0000"/>
          <w:lang w:val="en-US"/>
        </w:rPr>
        <w:lastRenderedPageBreak/>
        <mc:AlternateContent>
          <mc:Choice Requires="wps">
            <w:drawing>
              <wp:anchor distT="0" distB="0" distL="114300" distR="114300" simplePos="0" relativeHeight="251670528" behindDoc="0" locked="0" layoutInCell="1" allowOverlap="1" wp14:anchorId="0206B407" wp14:editId="563525F7">
                <wp:simplePos x="0" y="0"/>
                <wp:positionH relativeFrom="leftMargin">
                  <wp:posOffset>540385</wp:posOffset>
                </wp:positionH>
                <wp:positionV relativeFrom="paragraph">
                  <wp:posOffset>0</wp:posOffset>
                </wp:positionV>
                <wp:extent cx="0" cy="9024620"/>
                <wp:effectExtent l="0" t="0" r="25400" b="0"/>
                <wp:wrapNone/>
                <wp:docPr id="9" name="Straight Connector 9"/>
                <wp:cNvGraphicFramePr/>
                <a:graphic xmlns:a="http://schemas.openxmlformats.org/drawingml/2006/main">
                  <a:graphicData uri="http://schemas.microsoft.com/office/word/2010/wordprocessingShape">
                    <wps:wsp>
                      <wps:cNvCnPr/>
                      <wps:spPr>
                        <a:xfrm flipH="1">
                          <a:off x="0" y="0"/>
                          <a:ext cx="0" cy="9024620"/>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BD876D"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5pt,0" to="42.55pt,7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" strokecolor="red" strokeweight="2pt">
                <v:stroke dashstyle="dash" joinstyle="miter"/>
                <w10:wrap anchorx="margin"/>
              </v:line>
            </w:pict>
          </mc:Fallback>
        </mc:AlternateContent>
      </w:r>
      <w:r w:rsidR="00EE74D3" w:rsidRPr="006D4AB3">
        <w:rPr>
          <w:rFonts w:ascii="Calibri" w:hAnsi="Calibri"/>
          <w:b/>
        </w:rPr>
        <w:t>N</w:t>
      </w:r>
      <w:r w:rsidR="00506EFF" w:rsidRPr="006D4AB3">
        <w:rPr>
          <w:rFonts w:ascii="Calibri" w:hAnsi="Calibri"/>
          <w:b/>
        </w:rPr>
        <w:t>egative and discriminatory financial impact</w:t>
      </w:r>
      <w:r w:rsidR="003654D8" w:rsidRPr="006D4AB3">
        <w:rPr>
          <w:rFonts w:ascii="Calibri" w:hAnsi="Calibri"/>
          <w:b/>
        </w:rPr>
        <w:t xml:space="preserve"> of some </w:t>
      </w:r>
      <w:r w:rsidR="00506EFF" w:rsidRPr="006D4AB3">
        <w:rPr>
          <w:rFonts w:ascii="Calibri" w:hAnsi="Calibri"/>
          <w:b/>
        </w:rPr>
        <w:t>measures</w:t>
      </w:r>
      <w:r w:rsidR="00506EFF" w:rsidRPr="006D4AB3">
        <w:rPr>
          <w:rFonts w:ascii="Calibri" w:hAnsi="Calibri"/>
        </w:rPr>
        <w:t>;</w:t>
      </w:r>
    </w:p>
    <w:p w14:paraId="77208C83" w14:textId="77777777" w:rsidR="006D4AB3" w:rsidRPr="006D4AB3" w:rsidRDefault="006D4AB3" w:rsidP="000D7CFB">
      <w:pPr>
        <w:ind w:firstLine="720"/>
        <w:rPr>
          <w:rFonts w:ascii="Calibri" w:hAnsi="Calibri"/>
          <w:u w:val="single"/>
        </w:rPr>
      </w:pPr>
      <w:r w:rsidRPr="006D4AB3">
        <w:rPr>
          <w:rFonts w:ascii="Calibri" w:hAnsi="Calibri"/>
          <w:noProof/>
          <w:sz w:val="20"/>
          <w:u w:val="single"/>
          <w:lang w:val="en-US"/>
        </w:rPr>
        <mc:AlternateContent>
          <mc:Choice Requires="wps">
            <w:drawing>
              <wp:anchor distT="0" distB="0" distL="114300" distR="114300" simplePos="0" relativeHeight="251663360" behindDoc="1" locked="0" layoutInCell="1" allowOverlap="1" wp14:anchorId="4FFE6221" wp14:editId="6D075DF5">
                <wp:simplePos x="0" y="0"/>
                <wp:positionH relativeFrom="column">
                  <wp:posOffset>457200</wp:posOffset>
                </wp:positionH>
                <wp:positionV relativeFrom="paragraph">
                  <wp:posOffset>73660</wp:posOffset>
                </wp:positionV>
                <wp:extent cx="6057900" cy="2955290"/>
                <wp:effectExtent l="0" t="0" r="38100" b="16510"/>
                <wp:wrapTight wrapText="bothSides">
                  <wp:wrapPolygon edited="0">
                    <wp:start x="0" y="0"/>
                    <wp:lineTo x="0" y="21535"/>
                    <wp:lineTo x="21645" y="21535"/>
                    <wp:lineTo x="2164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057900" cy="2955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7994C" w14:textId="77777777" w:rsidR="002B679D" w:rsidRPr="006D4AB3" w:rsidRDefault="002B679D" w:rsidP="00EE74D3">
                            <w:pPr>
                              <w:rPr>
                                <w:rFonts w:ascii="Calibri" w:hAnsi="Calibri"/>
                                <w:u w:val="single"/>
                              </w:rPr>
                            </w:pPr>
                            <w:r w:rsidRPr="006D4AB3">
                              <w:rPr>
                                <w:rFonts w:ascii="Calibri" w:hAnsi="Calibri"/>
                                <w:u w:val="single"/>
                              </w:rPr>
                              <w:t>Budget (2014) Cap on Annually Managed Expenditure – The Welfare Cap;</w:t>
                            </w:r>
                          </w:p>
                          <w:p w14:paraId="03E0DEF7" w14:textId="04062383" w:rsidR="002B679D" w:rsidRPr="006D4AB3" w:rsidRDefault="002B679D" w:rsidP="00EE74D3">
                            <w:pPr>
                              <w:rPr>
                                <w:rFonts w:ascii="Calibri" w:hAnsi="Calibri"/>
                              </w:rPr>
                            </w:pPr>
                            <w:r>
                              <w:rPr>
                                <w:rFonts w:ascii="Calibri" w:hAnsi="Calibri"/>
                              </w:rPr>
                              <w:t>The Budget committed to a national deficit reduction plan comprised of 8</w:t>
                            </w:r>
                            <w:r w:rsidRPr="006D4AB3">
                              <w:rPr>
                                <w:rFonts w:ascii="Calibri" w:hAnsi="Calibri"/>
                              </w:rPr>
                              <w:t xml:space="preserve">0% </w:t>
                            </w:r>
                            <w:r>
                              <w:rPr>
                                <w:rFonts w:ascii="Calibri" w:hAnsi="Calibri"/>
                              </w:rPr>
                              <w:t xml:space="preserve">from reduced spending and 20% from </w:t>
                            </w:r>
                            <w:r w:rsidRPr="006D4AB3">
                              <w:rPr>
                                <w:rFonts w:ascii="Calibri" w:hAnsi="Calibri"/>
                              </w:rPr>
                              <w:t>increase</w:t>
                            </w:r>
                            <w:r>
                              <w:rPr>
                                <w:rFonts w:ascii="Calibri" w:hAnsi="Calibri"/>
                              </w:rPr>
                              <w:t>d</w:t>
                            </w:r>
                            <w:r w:rsidRPr="006D4AB3">
                              <w:rPr>
                                <w:rFonts w:ascii="Calibri" w:hAnsi="Calibri"/>
                              </w:rPr>
                              <w:t xml:space="preserve"> taxes. This plan included the introduction of </w:t>
                            </w:r>
                            <w:r w:rsidRPr="006D4AB3">
                              <w:rPr>
                                <w:rFonts w:ascii="Calibri" w:hAnsi="Calibri"/>
                                <w:b/>
                              </w:rPr>
                              <w:t>a cap on most social security spending with the exception of pensions</w:t>
                            </w:r>
                            <w:r w:rsidRPr="006D4AB3">
                              <w:rPr>
                                <w:rFonts w:ascii="Calibri" w:hAnsi="Calibri"/>
                              </w:rPr>
                              <w:t xml:space="preserve">. It has been criticised for arbitrarily and ideologically cutting social security expenditure without regard to need. The cap </w:t>
                            </w:r>
                            <w:proofErr w:type="gramStart"/>
                            <w:r w:rsidRPr="006D4AB3">
                              <w:rPr>
                                <w:rFonts w:ascii="Calibri" w:hAnsi="Calibri"/>
                              </w:rPr>
                              <w:t>is predicted to be breached</w:t>
                            </w:r>
                            <w:proofErr w:type="gramEnd"/>
                            <w:r w:rsidRPr="006D4AB3">
                              <w:rPr>
                                <w:rFonts w:ascii="Calibri" w:hAnsi="Calibri"/>
                              </w:rPr>
                              <w:t xml:space="preserve"> until 2019, in many cases because of the administrative cost of reform outweighing savings.</w:t>
                            </w:r>
                          </w:p>
                          <w:p w14:paraId="64D661DA" w14:textId="77777777" w:rsidR="002B679D" w:rsidRPr="006D4AB3" w:rsidRDefault="002B679D" w:rsidP="00EE74D3">
                            <w:pPr>
                              <w:rPr>
                                <w:rFonts w:ascii="Calibri" w:hAnsi="Calibri"/>
                              </w:rPr>
                            </w:pPr>
                            <w:r w:rsidRPr="006D4AB3">
                              <w:rPr>
                                <w:rFonts w:ascii="Calibri" w:hAnsi="Calibri"/>
                                <w:u w:val="single"/>
                              </w:rPr>
                              <w:t>Welfare and Work Reform Act 2016;</w:t>
                            </w:r>
                            <w:r w:rsidRPr="006D4AB3">
                              <w:rPr>
                                <w:rFonts w:ascii="Calibri" w:hAnsi="Calibri"/>
                              </w:rPr>
                              <w:t xml:space="preserve"> further restricted social security, including;</w:t>
                            </w:r>
                          </w:p>
                          <w:p w14:paraId="0F74C3E9" w14:textId="77777777" w:rsidR="002B679D" w:rsidRPr="006D4AB3" w:rsidRDefault="002B679D" w:rsidP="00EE74D3">
                            <w:pPr>
                              <w:pStyle w:val="ListParagraph"/>
                              <w:numPr>
                                <w:ilvl w:val="0"/>
                                <w:numId w:val="18"/>
                              </w:numPr>
                              <w:spacing w:after="80"/>
                              <w:contextualSpacing w:val="0"/>
                              <w:rPr>
                                <w:rFonts w:ascii="Calibri" w:hAnsi="Calibri"/>
                                <w:u w:val="single"/>
                              </w:rPr>
                            </w:pPr>
                            <w:r w:rsidRPr="006D4AB3">
                              <w:rPr>
                                <w:rFonts w:ascii="Calibri" w:hAnsi="Calibri"/>
                              </w:rPr>
                              <w:t xml:space="preserve">Repealed much of the Child Poverty Act 2010, including abolishing statutory targets on income-related child poverty, and renamed it as the </w:t>
                            </w:r>
                            <w:r w:rsidRPr="006D4AB3">
                              <w:rPr>
                                <w:rFonts w:ascii="Calibri" w:hAnsi="Calibri"/>
                                <w:b/>
                              </w:rPr>
                              <w:t>Life Chances Act 2010</w:t>
                            </w:r>
                          </w:p>
                          <w:p w14:paraId="0D8C81B6" w14:textId="77777777" w:rsidR="002B679D" w:rsidRPr="006D4AB3" w:rsidRDefault="002B679D" w:rsidP="00EE74D3">
                            <w:pPr>
                              <w:pStyle w:val="ListParagraph"/>
                              <w:numPr>
                                <w:ilvl w:val="0"/>
                                <w:numId w:val="18"/>
                              </w:numPr>
                              <w:spacing w:after="80"/>
                              <w:contextualSpacing w:val="0"/>
                              <w:rPr>
                                <w:rFonts w:ascii="Calibri" w:hAnsi="Calibri"/>
                                <w:u w:val="single"/>
                              </w:rPr>
                            </w:pPr>
                            <w:r w:rsidRPr="006D4AB3">
                              <w:rPr>
                                <w:rFonts w:ascii="Calibri" w:hAnsi="Calibri"/>
                              </w:rPr>
                              <w:t xml:space="preserve">Required a </w:t>
                            </w:r>
                            <w:r w:rsidRPr="006D4AB3">
                              <w:rPr>
                                <w:rFonts w:ascii="Calibri" w:hAnsi="Calibri"/>
                                <w:b/>
                              </w:rPr>
                              <w:t>4 year freeze</w:t>
                            </w:r>
                            <w:r w:rsidRPr="006D4AB3">
                              <w:rPr>
                                <w:rFonts w:ascii="Calibri" w:hAnsi="Calibri"/>
                              </w:rPr>
                              <w:t xml:space="preserve"> on number of unemployment and low-income benefits</w:t>
                            </w:r>
                          </w:p>
                          <w:p w14:paraId="6258E234" w14:textId="77777777" w:rsidR="002B679D" w:rsidRPr="006D4AB3" w:rsidRDefault="002B679D" w:rsidP="00EE74D3">
                            <w:pPr>
                              <w:pStyle w:val="ListParagraph"/>
                              <w:numPr>
                                <w:ilvl w:val="0"/>
                                <w:numId w:val="18"/>
                              </w:numPr>
                              <w:spacing w:after="80"/>
                              <w:contextualSpacing w:val="0"/>
                              <w:rPr>
                                <w:rFonts w:ascii="Calibri" w:hAnsi="Calibri"/>
                                <w:u w:val="single"/>
                              </w:rPr>
                            </w:pPr>
                            <w:r w:rsidRPr="006D4AB3">
                              <w:rPr>
                                <w:rFonts w:ascii="Calibri" w:hAnsi="Calibri"/>
                              </w:rPr>
                              <w:t xml:space="preserve">The reduction of the </w:t>
                            </w:r>
                            <w:r w:rsidRPr="006D4AB3">
                              <w:rPr>
                                <w:rFonts w:ascii="Calibri" w:hAnsi="Calibri"/>
                                <w:b/>
                              </w:rPr>
                              <w:t>household Benefit Cap</w:t>
                            </w:r>
                            <w:r w:rsidRPr="006D4AB3">
                              <w:rPr>
                                <w:rFonts w:ascii="Calibri" w:hAnsi="Calibri"/>
                              </w:rPr>
                              <w:t xml:space="preserve"> introduced in 2012 from £23,000 to £20,000 in London, and £15,410 to £13,400 everywhere else</w:t>
                            </w:r>
                          </w:p>
                          <w:p w14:paraId="06EAE2D9" w14:textId="77777777" w:rsidR="002B679D" w:rsidRPr="006D4AB3" w:rsidRDefault="002B679D" w:rsidP="00EE74D3">
                            <w:pPr>
                              <w:pStyle w:val="ListParagraph"/>
                              <w:numPr>
                                <w:ilvl w:val="0"/>
                                <w:numId w:val="18"/>
                              </w:numPr>
                              <w:spacing w:after="80"/>
                              <w:contextualSpacing w:val="0"/>
                              <w:rPr>
                                <w:rFonts w:ascii="Calibri" w:hAnsi="Calibri"/>
                                <w:u w:val="single"/>
                              </w:rPr>
                            </w:pPr>
                            <w:r w:rsidRPr="006D4AB3">
                              <w:rPr>
                                <w:rFonts w:ascii="Calibri" w:hAnsi="Calibri"/>
                              </w:rPr>
                              <w:t xml:space="preserve">The limitation of </w:t>
                            </w:r>
                            <w:r w:rsidRPr="006D4AB3">
                              <w:rPr>
                                <w:rFonts w:ascii="Calibri" w:hAnsi="Calibri"/>
                                <w:b/>
                              </w:rPr>
                              <w:t>Child Tax Credit</w:t>
                            </w:r>
                            <w:r w:rsidRPr="006D4AB3">
                              <w:rPr>
                                <w:rFonts w:ascii="Calibri" w:hAnsi="Calibri"/>
                              </w:rPr>
                              <w:t xml:space="preserve"> under Universal Credit to 2 children </w:t>
                            </w:r>
                          </w:p>
                          <w:p w14:paraId="7C0D5F44" w14:textId="77777777" w:rsidR="002B679D" w:rsidRDefault="002B6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6pt;margin-top:5.8pt;width:477pt;height:23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" fillcolor="white [3201]" strokeweight=".5pt">
                <v:textbox>
                  <w:txbxContent>
                    <w:p w14:paraId="6597994C" w14:textId="77777777" w:rsidR="002B679D" w:rsidRPr="006D4AB3" w:rsidRDefault="002B679D" w:rsidP="00EE74D3">
                      <w:pPr>
                        <w:rPr>
                          <w:rFonts w:ascii="Calibri" w:hAnsi="Calibri"/>
                          <w:u w:val="single"/>
                        </w:rPr>
                      </w:pPr>
                      <w:r w:rsidRPr="006D4AB3">
                        <w:rPr>
                          <w:rFonts w:ascii="Calibri" w:hAnsi="Calibri"/>
                          <w:u w:val="single"/>
                        </w:rPr>
                        <w:t>Budget (2014) Cap on Annually Managed Expenditure – The Welfare Cap;</w:t>
                      </w:r>
                    </w:p>
                    <w:p w14:paraId="03E0DEF7" w14:textId="04062383" w:rsidR="002B679D" w:rsidRPr="006D4AB3" w:rsidRDefault="002B679D" w:rsidP="00EE74D3">
                      <w:pPr>
                        <w:rPr>
                          <w:rFonts w:ascii="Calibri" w:hAnsi="Calibri"/>
                        </w:rPr>
                      </w:pPr>
                      <w:r>
                        <w:rPr>
                          <w:rFonts w:ascii="Calibri" w:hAnsi="Calibri"/>
                        </w:rPr>
                        <w:t>The Budget committed to a national deficit reduction plan comprised of 8</w:t>
                      </w:r>
                      <w:r w:rsidRPr="006D4AB3">
                        <w:rPr>
                          <w:rFonts w:ascii="Calibri" w:hAnsi="Calibri"/>
                        </w:rPr>
                        <w:t xml:space="preserve">0% </w:t>
                      </w:r>
                      <w:r>
                        <w:rPr>
                          <w:rFonts w:ascii="Calibri" w:hAnsi="Calibri"/>
                        </w:rPr>
                        <w:t xml:space="preserve">from reduced spending and 20% from </w:t>
                      </w:r>
                      <w:r w:rsidRPr="006D4AB3">
                        <w:rPr>
                          <w:rFonts w:ascii="Calibri" w:hAnsi="Calibri"/>
                        </w:rPr>
                        <w:t>increase</w:t>
                      </w:r>
                      <w:r>
                        <w:rPr>
                          <w:rFonts w:ascii="Calibri" w:hAnsi="Calibri"/>
                        </w:rPr>
                        <w:t>d</w:t>
                      </w:r>
                      <w:r w:rsidRPr="006D4AB3">
                        <w:rPr>
                          <w:rFonts w:ascii="Calibri" w:hAnsi="Calibri"/>
                        </w:rPr>
                        <w:t xml:space="preserve"> taxes. This plan included the introduction of </w:t>
                      </w:r>
                      <w:r w:rsidRPr="006D4AB3">
                        <w:rPr>
                          <w:rFonts w:ascii="Calibri" w:hAnsi="Calibri"/>
                          <w:b/>
                        </w:rPr>
                        <w:t>a cap on most social security spending with the exception of pensions</w:t>
                      </w:r>
                      <w:r w:rsidRPr="006D4AB3">
                        <w:rPr>
                          <w:rFonts w:ascii="Calibri" w:hAnsi="Calibri"/>
                        </w:rPr>
                        <w:t xml:space="preserve">. It has been criticised for arbitrarily and ideologically cutting social security expenditure without regard to need. The cap </w:t>
                      </w:r>
                      <w:proofErr w:type="gramStart"/>
                      <w:r w:rsidRPr="006D4AB3">
                        <w:rPr>
                          <w:rFonts w:ascii="Calibri" w:hAnsi="Calibri"/>
                        </w:rPr>
                        <w:t>is predicted to be breached</w:t>
                      </w:r>
                      <w:proofErr w:type="gramEnd"/>
                      <w:r w:rsidRPr="006D4AB3">
                        <w:rPr>
                          <w:rFonts w:ascii="Calibri" w:hAnsi="Calibri"/>
                        </w:rPr>
                        <w:t xml:space="preserve"> until 2019, in many cases because of the administrative cost of reform outweighing savings.</w:t>
                      </w:r>
                    </w:p>
                    <w:p w14:paraId="64D661DA" w14:textId="77777777" w:rsidR="002B679D" w:rsidRPr="006D4AB3" w:rsidRDefault="002B679D" w:rsidP="00EE74D3">
                      <w:pPr>
                        <w:rPr>
                          <w:rFonts w:ascii="Calibri" w:hAnsi="Calibri"/>
                        </w:rPr>
                      </w:pPr>
                      <w:r w:rsidRPr="006D4AB3">
                        <w:rPr>
                          <w:rFonts w:ascii="Calibri" w:hAnsi="Calibri"/>
                          <w:u w:val="single"/>
                        </w:rPr>
                        <w:t>Welfare and Work Reform Act 2016;</w:t>
                      </w:r>
                      <w:r w:rsidRPr="006D4AB3">
                        <w:rPr>
                          <w:rFonts w:ascii="Calibri" w:hAnsi="Calibri"/>
                        </w:rPr>
                        <w:t xml:space="preserve"> further restricted social security, including;</w:t>
                      </w:r>
                    </w:p>
                    <w:p w14:paraId="0F74C3E9" w14:textId="77777777" w:rsidR="002B679D" w:rsidRPr="006D4AB3" w:rsidRDefault="002B679D" w:rsidP="00EE74D3">
                      <w:pPr>
                        <w:pStyle w:val="ListParagraph"/>
                        <w:numPr>
                          <w:ilvl w:val="0"/>
                          <w:numId w:val="18"/>
                        </w:numPr>
                        <w:spacing w:after="80"/>
                        <w:contextualSpacing w:val="0"/>
                        <w:rPr>
                          <w:rFonts w:ascii="Calibri" w:hAnsi="Calibri"/>
                          <w:u w:val="single"/>
                        </w:rPr>
                      </w:pPr>
                      <w:r w:rsidRPr="006D4AB3">
                        <w:rPr>
                          <w:rFonts w:ascii="Calibri" w:hAnsi="Calibri"/>
                        </w:rPr>
                        <w:t xml:space="preserve">Repealed much of the Child Poverty Act 2010, including abolishing statutory targets on income-related child poverty, and renamed it as the </w:t>
                      </w:r>
                      <w:r w:rsidRPr="006D4AB3">
                        <w:rPr>
                          <w:rFonts w:ascii="Calibri" w:hAnsi="Calibri"/>
                          <w:b/>
                        </w:rPr>
                        <w:t>Life Chances Act 2010</w:t>
                      </w:r>
                    </w:p>
                    <w:p w14:paraId="0D8C81B6" w14:textId="77777777" w:rsidR="002B679D" w:rsidRPr="006D4AB3" w:rsidRDefault="002B679D" w:rsidP="00EE74D3">
                      <w:pPr>
                        <w:pStyle w:val="ListParagraph"/>
                        <w:numPr>
                          <w:ilvl w:val="0"/>
                          <w:numId w:val="18"/>
                        </w:numPr>
                        <w:spacing w:after="80"/>
                        <w:contextualSpacing w:val="0"/>
                        <w:rPr>
                          <w:rFonts w:ascii="Calibri" w:hAnsi="Calibri"/>
                          <w:u w:val="single"/>
                        </w:rPr>
                      </w:pPr>
                      <w:r w:rsidRPr="006D4AB3">
                        <w:rPr>
                          <w:rFonts w:ascii="Calibri" w:hAnsi="Calibri"/>
                        </w:rPr>
                        <w:t xml:space="preserve">Required a </w:t>
                      </w:r>
                      <w:r w:rsidRPr="006D4AB3">
                        <w:rPr>
                          <w:rFonts w:ascii="Calibri" w:hAnsi="Calibri"/>
                          <w:b/>
                        </w:rPr>
                        <w:t>4 year freeze</w:t>
                      </w:r>
                      <w:r w:rsidRPr="006D4AB3">
                        <w:rPr>
                          <w:rFonts w:ascii="Calibri" w:hAnsi="Calibri"/>
                        </w:rPr>
                        <w:t xml:space="preserve"> on number of unemployment and low-income benefits</w:t>
                      </w:r>
                    </w:p>
                    <w:p w14:paraId="6258E234" w14:textId="77777777" w:rsidR="002B679D" w:rsidRPr="006D4AB3" w:rsidRDefault="002B679D" w:rsidP="00EE74D3">
                      <w:pPr>
                        <w:pStyle w:val="ListParagraph"/>
                        <w:numPr>
                          <w:ilvl w:val="0"/>
                          <w:numId w:val="18"/>
                        </w:numPr>
                        <w:spacing w:after="80"/>
                        <w:contextualSpacing w:val="0"/>
                        <w:rPr>
                          <w:rFonts w:ascii="Calibri" w:hAnsi="Calibri"/>
                          <w:u w:val="single"/>
                        </w:rPr>
                      </w:pPr>
                      <w:r w:rsidRPr="006D4AB3">
                        <w:rPr>
                          <w:rFonts w:ascii="Calibri" w:hAnsi="Calibri"/>
                        </w:rPr>
                        <w:t xml:space="preserve">The reduction of the </w:t>
                      </w:r>
                      <w:r w:rsidRPr="006D4AB3">
                        <w:rPr>
                          <w:rFonts w:ascii="Calibri" w:hAnsi="Calibri"/>
                          <w:b/>
                        </w:rPr>
                        <w:t>household Benefit Cap</w:t>
                      </w:r>
                      <w:r w:rsidRPr="006D4AB3">
                        <w:rPr>
                          <w:rFonts w:ascii="Calibri" w:hAnsi="Calibri"/>
                        </w:rPr>
                        <w:t xml:space="preserve"> introduced in 2012 from £23,000 to £20,000 in London, and £15,410 to £13,400 everywhere else</w:t>
                      </w:r>
                    </w:p>
                    <w:p w14:paraId="06EAE2D9" w14:textId="77777777" w:rsidR="002B679D" w:rsidRPr="006D4AB3" w:rsidRDefault="002B679D" w:rsidP="00EE74D3">
                      <w:pPr>
                        <w:pStyle w:val="ListParagraph"/>
                        <w:numPr>
                          <w:ilvl w:val="0"/>
                          <w:numId w:val="18"/>
                        </w:numPr>
                        <w:spacing w:after="80"/>
                        <w:contextualSpacing w:val="0"/>
                        <w:rPr>
                          <w:rFonts w:ascii="Calibri" w:hAnsi="Calibri"/>
                          <w:u w:val="single"/>
                        </w:rPr>
                      </w:pPr>
                      <w:r w:rsidRPr="006D4AB3">
                        <w:rPr>
                          <w:rFonts w:ascii="Calibri" w:hAnsi="Calibri"/>
                        </w:rPr>
                        <w:t xml:space="preserve">The limitation of </w:t>
                      </w:r>
                      <w:r w:rsidRPr="006D4AB3">
                        <w:rPr>
                          <w:rFonts w:ascii="Calibri" w:hAnsi="Calibri"/>
                          <w:b/>
                        </w:rPr>
                        <w:t>Child Tax Credit</w:t>
                      </w:r>
                      <w:r w:rsidRPr="006D4AB3">
                        <w:rPr>
                          <w:rFonts w:ascii="Calibri" w:hAnsi="Calibri"/>
                        </w:rPr>
                        <w:t xml:space="preserve"> under Universal Credit to 2 children </w:t>
                      </w:r>
                    </w:p>
                    <w:p w14:paraId="7C0D5F44" w14:textId="77777777" w:rsidR="002B679D" w:rsidRDefault="002B679D"/>
                  </w:txbxContent>
                </v:textbox>
                <w10:wrap type="tight"/>
              </v:shape>
            </w:pict>
          </mc:Fallback>
        </mc:AlternateContent>
      </w:r>
    </w:p>
    <w:p w14:paraId="36BB631E" w14:textId="77777777" w:rsidR="00506EFF" w:rsidRPr="006D4AB3" w:rsidRDefault="00506EFF" w:rsidP="000D7CFB">
      <w:pPr>
        <w:ind w:firstLine="720"/>
        <w:rPr>
          <w:rFonts w:ascii="Calibri" w:hAnsi="Calibri"/>
          <w:u w:val="single"/>
        </w:rPr>
      </w:pPr>
      <w:r w:rsidRPr="006D4AB3">
        <w:rPr>
          <w:rFonts w:ascii="Calibri" w:hAnsi="Calibri"/>
          <w:u w:val="single"/>
        </w:rPr>
        <w:t xml:space="preserve">The </w:t>
      </w:r>
      <w:r w:rsidR="003654D8" w:rsidRPr="006D4AB3">
        <w:rPr>
          <w:rFonts w:ascii="Calibri" w:hAnsi="Calibri"/>
          <w:u w:val="single"/>
        </w:rPr>
        <w:t xml:space="preserve">household </w:t>
      </w:r>
      <w:r w:rsidRPr="006D4AB3">
        <w:rPr>
          <w:rFonts w:ascii="Calibri" w:hAnsi="Calibri"/>
          <w:u w:val="single"/>
        </w:rPr>
        <w:t>Benefit Cap</w:t>
      </w:r>
    </w:p>
    <w:p w14:paraId="4DD65488" w14:textId="77777777" w:rsidR="003654D8" w:rsidRPr="006D4AB3" w:rsidRDefault="00506EFF" w:rsidP="000A2C1F">
      <w:pPr>
        <w:ind w:left="720"/>
        <w:rPr>
          <w:rFonts w:ascii="Calibri" w:hAnsi="Calibri"/>
        </w:rPr>
      </w:pPr>
      <w:r w:rsidRPr="006D4AB3">
        <w:rPr>
          <w:rFonts w:ascii="Calibri" w:hAnsi="Calibri"/>
        </w:rPr>
        <w:t xml:space="preserve">The household </w:t>
      </w:r>
      <w:r w:rsidRPr="006D4AB3">
        <w:rPr>
          <w:rFonts w:ascii="Calibri" w:hAnsi="Calibri"/>
          <w:i/>
        </w:rPr>
        <w:t>Benefit Cap</w:t>
      </w:r>
      <w:r w:rsidRPr="006D4AB3">
        <w:rPr>
          <w:rFonts w:ascii="Calibri" w:hAnsi="Calibri"/>
        </w:rPr>
        <w:t xml:space="preserve">, recently lowered to £13,400, is discriminatory in its impact on women, children, and </w:t>
      </w:r>
      <w:r w:rsidR="009943A9" w:rsidRPr="006D4AB3">
        <w:rPr>
          <w:rFonts w:ascii="Calibri" w:hAnsi="Calibri"/>
        </w:rPr>
        <w:t>disabled people</w:t>
      </w:r>
      <w:r w:rsidRPr="006D4AB3">
        <w:rPr>
          <w:rFonts w:ascii="Calibri" w:hAnsi="Calibri"/>
        </w:rPr>
        <w:t xml:space="preserve">. The cap, introduced by the UK Government with the intention of incentivising work over social security is based on a false </w:t>
      </w:r>
      <w:r w:rsidR="003654D8" w:rsidRPr="006D4AB3">
        <w:rPr>
          <w:rFonts w:ascii="Calibri" w:hAnsi="Calibri"/>
        </w:rPr>
        <w:t>premise – the majority of the people in receipt of</w:t>
      </w:r>
      <w:r w:rsidR="0074573B" w:rsidRPr="006D4AB3">
        <w:rPr>
          <w:rFonts w:ascii="Calibri" w:hAnsi="Calibri"/>
        </w:rPr>
        <w:t xml:space="preserve"> the benefits now capped are </w:t>
      </w:r>
      <w:r w:rsidR="003654D8" w:rsidRPr="006D4AB3">
        <w:rPr>
          <w:rFonts w:ascii="Calibri" w:hAnsi="Calibri"/>
        </w:rPr>
        <w:t xml:space="preserve">either </w:t>
      </w:r>
      <w:proofErr w:type="gramStart"/>
      <w:r w:rsidR="003654D8" w:rsidRPr="006D4AB3">
        <w:rPr>
          <w:rFonts w:ascii="Calibri" w:hAnsi="Calibri"/>
        </w:rPr>
        <w:t>in-work</w:t>
      </w:r>
      <w:proofErr w:type="gramEnd"/>
      <w:r w:rsidR="003654D8" w:rsidRPr="006D4AB3">
        <w:rPr>
          <w:rFonts w:ascii="Calibri" w:hAnsi="Calibri"/>
        </w:rPr>
        <w:t xml:space="preserve"> or unable to work.</w:t>
      </w:r>
      <w:r w:rsidR="0074573B" w:rsidRPr="006D4AB3">
        <w:rPr>
          <w:rStyle w:val="EndnoteReference"/>
          <w:rFonts w:ascii="Calibri" w:hAnsi="Calibri"/>
        </w:rPr>
        <w:endnoteReference w:id="21"/>
      </w:r>
      <w:r w:rsidR="003654D8" w:rsidRPr="006D4AB3">
        <w:rPr>
          <w:rFonts w:ascii="Calibri" w:hAnsi="Calibri"/>
        </w:rPr>
        <w:t xml:space="preserve"> Benefits that are included in th</w:t>
      </w:r>
      <w:r w:rsidR="0074573B" w:rsidRPr="006D4AB3">
        <w:rPr>
          <w:rFonts w:ascii="Calibri" w:hAnsi="Calibri"/>
        </w:rPr>
        <w:t xml:space="preserve">e cap include </w:t>
      </w:r>
      <w:r w:rsidR="0074573B" w:rsidRPr="006D4AB3">
        <w:rPr>
          <w:rFonts w:ascii="Calibri" w:hAnsi="Calibri"/>
          <w:i/>
        </w:rPr>
        <w:t>Housing Benefit, Child Tax C</w:t>
      </w:r>
      <w:r w:rsidR="003654D8" w:rsidRPr="006D4AB3">
        <w:rPr>
          <w:rFonts w:ascii="Calibri" w:hAnsi="Calibri"/>
          <w:i/>
        </w:rPr>
        <w:t>redit,</w:t>
      </w:r>
      <w:r w:rsidR="0074573B" w:rsidRPr="006D4AB3">
        <w:rPr>
          <w:rFonts w:ascii="Calibri" w:hAnsi="Calibri"/>
          <w:i/>
        </w:rPr>
        <w:t xml:space="preserve"> </w:t>
      </w:r>
      <w:r w:rsidR="003654D8" w:rsidRPr="006D4AB3">
        <w:rPr>
          <w:rFonts w:ascii="Calibri" w:hAnsi="Calibri"/>
          <w:i/>
        </w:rPr>
        <w:t>Child Be</w:t>
      </w:r>
      <w:r w:rsidR="0074573B" w:rsidRPr="006D4AB3">
        <w:rPr>
          <w:rFonts w:ascii="Calibri" w:hAnsi="Calibri"/>
          <w:i/>
        </w:rPr>
        <w:t>nefit and Carers Allowance</w:t>
      </w:r>
      <w:r w:rsidR="00851800" w:rsidRPr="006D4AB3">
        <w:rPr>
          <w:rFonts w:ascii="Calibri" w:hAnsi="Calibri"/>
        </w:rPr>
        <w:t xml:space="preserve">, </w:t>
      </w:r>
      <w:r w:rsidR="00851800" w:rsidRPr="006D4AB3">
        <w:rPr>
          <w:rFonts w:ascii="Calibri" w:hAnsi="Calibri"/>
          <w:b/>
        </w:rPr>
        <w:t>impacting on 150,000 adults and 395,000 children</w:t>
      </w:r>
      <w:r w:rsidR="00851800" w:rsidRPr="006D4AB3">
        <w:rPr>
          <w:rFonts w:ascii="Calibri" w:hAnsi="Calibri"/>
        </w:rPr>
        <w:t>.</w:t>
      </w:r>
      <w:r w:rsidR="0074573B" w:rsidRPr="006D4AB3">
        <w:rPr>
          <w:rStyle w:val="EndnoteReference"/>
          <w:rFonts w:ascii="Calibri" w:hAnsi="Calibri"/>
        </w:rPr>
        <w:endnoteReference w:id="22"/>
      </w:r>
    </w:p>
    <w:p w14:paraId="3275CF0E" w14:textId="34CC2C99" w:rsidR="00506EFF" w:rsidRPr="006D4AB3" w:rsidRDefault="003654D8" w:rsidP="000A2C1F">
      <w:pPr>
        <w:ind w:left="720"/>
        <w:rPr>
          <w:rFonts w:ascii="Calibri" w:hAnsi="Calibri"/>
        </w:rPr>
      </w:pPr>
      <w:r w:rsidRPr="006D4AB3">
        <w:rPr>
          <w:rFonts w:ascii="Calibri" w:hAnsi="Calibri"/>
        </w:rPr>
        <w:t xml:space="preserve">The impact </w:t>
      </w:r>
      <w:r w:rsidR="00506EFF" w:rsidRPr="006D4AB3">
        <w:rPr>
          <w:rFonts w:ascii="Calibri" w:hAnsi="Calibri"/>
        </w:rPr>
        <w:t>has been deeply unfair in practice</w:t>
      </w:r>
      <w:proofErr w:type="gramStart"/>
      <w:r w:rsidRPr="006D4AB3">
        <w:rPr>
          <w:rFonts w:ascii="Calibri" w:hAnsi="Calibri"/>
        </w:rPr>
        <w:t>;</w:t>
      </w:r>
      <w:proofErr w:type="gramEnd"/>
      <w:r w:rsidRPr="006D4AB3">
        <w:rPr>
          <w:rFonts w:ascii="Calibri" w:hAnsi="Calibri"/>
        </w:rPr>
        <w:t xml:space="preserve"> </w:t>
      </w:r>
      <w:r w:rsidR="00506EFF" w:rsidRPr="006D4AB3">
        <w:rPr>
          <w:rFonts w:ascii="Calibri" w:hAnsi="Calibri"/>
        </w:rPr>
        <w:t>reducing the</w:t>
      </w:r>
      <w:r w:rsidRPr="006D4AB3">
        <w:rPr>
          <w:rFonts w:ascii="Calibri" w:hAnsi="Calibri"/>
        </w:rPr>
        <w:t xml:space="preserve"> already stretched</w:t>
      </w:r>
      <w:r w:rsidR="00506EFF" w:rsidRPr="006D4AB3">
        <w:rPr>
          <w:rFonts w:ascii="Calibri" w:hAnsi="Calibri"/>
        </w:rPr>
        <w:t xml:space="preserve"> incomes of </w:t>
      </w:r>
      <w:r w:rsidR="00513CF1">
        <w:rPr>
          <w:rFonts w:ascii="Calibri" w:hAnsi="Calibri"/>
        </w:rPr>
        <w:t>lone-</w:t>
      </w:r>
      <w:r w:rsidR="0074573B" w:rsidRPr="006D4AB3">
        <w:rPr>
          <w:rFonts w:ascii="Calibri" w:hAnsi="Calibri"/>
        </w:rPr>
        <w:t xml:space="preserve">parents and </w:t>
      </w:r>
      <w:r w:rsidR="009943A9" w:rsidRPr="006D4AB3">
        <w:rPr>
          <w:rFonts w:ascii="Calibri" w:hAnsi="Calibri"/>
        </w:rPr>
        <w:t>disabled people’s carers</w:t>
      </w:r>
      <w:r w:rsidR="0074573B" w:rsidRPr="006D4AB3">
        <w:rPr>
          <w:rFonts w:ascii="Calibri" w:hAnsi="Calibri"/>
        </w:rPr>
        <w:t>, overwhelmingly women</w:t>
      </w:r>
      <w:r w:rsidR="00506EFF" w:rsidRPr="006D4AB3">
        <w:rPr>
          <w:rFonts w:ascii="Calibri" w:hAnsi="Calibri"/>
        </w:rPr>
        <w:t xml:space="preserve">. This has exacerbated food insecurity, and forced many people to move </w:t>
      </w:r>
      <w:r w:rsidR="009943A9" w:rsidRPr="006D4AB3">
        <w:rPr>
          <w:rFonts w:ascii="Calibri" w:hAnsi="Calibri"/>
        </w:rPr>
        <w:t>away from</w:t>
      </w:r>
      <w:r w:rsidR="00506EFF" w:rsidRPr="006D4AB3">
        <w:rPr>
          <w:rFonts w:ascii="Calibri" w:hAnsi="Calibri"/>
        </w:rPr>
        <w:t xml:space="preserve"> some areas of the UK – notably London, </w:t>
      </w:r>
      <w:r w:rsidR="00A063D3" w:rsidRPr="006D4AB3">
        <w:rPr>
          <w:rFonts w:ascii="Calibri" w:hAnsi="Calibri"/>
        </w:rPr>
        <w:t xml:space="preserve">where in combination with the selling of tens of thousands of council homes has led to </w:t>
      </w:r>
      <w:r w:rsidR="00A063D3" w:rsidRPr="006D4AB3">
        <w:rPr>
          <w:rFonts w:ascii="Calibri" w:hAnsi="Calibri"/>
          <w:b/>
        </w:rPr>
        <w:t>accusations of social</w:t>
      </w:r>
      <w:r w:rsidR="00506EFF" w:rsidRPr="006D4AB3">
        <w:rPr>
          <w:rFonts w:ascii="Calibri" w:hAnsi="Calibri"/>
          <w:b/>
        </w:rPr>
        <w:t xml:space="preserve"> cleansing</w:t>
      </w:r>
      <w:r w:rsidR="00506EFF" w:rsidRPr="006D4AB3">
        <w:rPr>
          <w:rFonts w:ascii="Calibri" w:hAnsi="Calibri"/>
        </w:rPr>
        <w:t>.</w:t>
      </w:r>
      <w:r w:rsidR="00A063D3" w:rsidRPr="006D4AB3">
        <w:rPr>
          <w:rStyle w:val="EndnoteReference"/>
          <w:rFonts w:ascii="Calibri" w:hAnsi="Calibri"/>
        </w:rPr>
        <w:endnoteReference w:id="23"/>
      </w:r>
      <w:r w:rsidR="00851800" w:rsidRPr="006D4AB3">
        <w:rPr>
          <w:rFonts w:ascii="Calibri" w:hAnsi="Calibri"/>
        </w:rPr>
        <w:t xml:space="preserve"> Recent research found that ‘families requiring two bedrooms in the private rental sector will not get enough housing benefit to meet their rent in any part of Inner or Outer London’.</w:t>
      </w:r>
      <w:r w:rsidR="00851800" w:rsidRPr="006D4AB3">
        <w:rPr>
          <w:rStyle w:val="EndnoteReference"/>
          <w:rFonts w:ascii="Calibri" w:hAnsi="Calibri"/>
        </w:rPr>
        <w:endnoteReference w:id="24"/>
      </w:r>
    </w:p>
    <w:p w14:paraId="1CB64A9E" w14:textId="55319C41" w:rsidR="00506EFF" w:rsidRPr="00345A0B" w:rsidRDefault="00506EFF" w:rsidP="00345A0B">
      <w:pPr>
        <w:ind w:left="720"/>
        <w:rPr>
          <w:rFonts w:ascii="Calibri" w:hAnsi="Calibri"/>
        </w:rPr>
      </w:pPr>
      <w:r w:rsidRPr="006D4AB3">
        <w:rPr>
          <w:rFonts w:ascii="Calibri" w:hAnsi="Calibri"/>
        </w:rPr>
        <w:t xml:space="preserve">The </w:t>
      </w:r>
      <w:r w:rsidR="009943A9" w:rsidRPr="006D4AB3">
        <w:rPr>
          <w:rFonts w:ascii="Calibri" w:hAnsi="Calibri"/>
        </w:rPr>
        <w:t>High Court</w:t>
      </w:r>
      <w:r w:rsidRPr="006D4AB3">
        <w:rPr>
          <w:rFonts w:ascii="Calibri" w:hAnsi="Calibri"/>
        </w:rPr>
        <w:t xml:space="preserve"> recently </w:t>
      </w:r>
      <w:r w:rsidR="009943A9" w:rsidRPr="006D4AB3">
        <w:rPr>
          <w:rFonts w:ascii="Calibri" w:hAnsi="Calibri"/>
        </w:rPr>
        <w:t xml:space="preserve">ruled that the cap had discriminated against disabled people by including </w:t>
      </w:r>
      <w:r w:rsidR="009943A9" w:rsidRPr="006D4AB3">
        <w:rPr>
          <w:rFonts w:ascii="Calibri" w:hAnsi="Calibri"/>
          <w:i/>
        </w:rPr>
        <w:t>Carer’s Allowance</w:t>
      </w:r>
      <w:r w:rsidR="009943A9" w:rsidRPr="006D4AB3">
        <w:rPr>
          <w:rFonts w:ascii="Calibri" w:hAnsi="Calibri"/>
        </w:rPr>
        <w:t>.</w:t>
      </w:r>
      <w:r w:rsidR="00BB3924" w:rsidRPr="006D4AB3">
        <w:rPr>
          <w:rStyle w:val="EndnoteReference"/>
          <w:rFonts w:ascii="Calibri" w:hAnsi="Calibri"/>
        </w:rPr>
        <w:endnoteReference w:id="25"/>
      </w:r>
      <w:r w:rsidR="00D15A0B" w:rsidRPr="006D4AB3">
        <w:rPr>
          <w:rFonts w:ascii="Calibri" w:hAnsi="Calibri"/>
        </w:rPr>
        <w:t xml:space="preserve"> </w:t>
      </w:r>
      <w:r w:rsidR="009943A9" w:rsidRPr="006D4AB3">
        <w:rPr>
          <w:rFonts w:ascii="Calibri" w:hAnsi="Calibri"/>
        </w:rPr>
        <w:t xml:space="preserve">In another case the </w:t>
      </w:r>
      <w:r w:rsidR="00D15A0B" w:rsidRPr="006D4AB3">
        <w:rPr>
          <w:rFonts w:ascii="Calibri" w:hAnsi="Calibri"/>
        </w:rPr>
        <w:t xml:space="preserve">Supreme Court acknowledged </w:t>
      </w:r>
      <w:r w:rsidR="009943A9" w:rsidRPr="006D4AB3">
        <w:rPr>
          <w:rFonts w:ascii="Calibri" w:hAnsi="Calibri"/>
        </w:rPr>
        <w:t xml:space="preserve">the cap had </w:t>
      </w:r>
      <w:r w:rsidR="004601CB" w:rsidRPr="006D4AB3">
        <w:rPr>
          <w:rFonts w:ascii="Calibri" w:hAnsi="Calibri"/>
        </w:rPr>
        <w:t xml:space="preserve">a </w:t>
      </w:r>
      <w:r w:rsidR="009943A9" w:rsidRPr="006D4AB3">
        <w:rPr>
          <w:rFonts w:ascii="Calibri" w:hAnsi="Calibri"/>
        </w:rPr>
        <w:t>discriminat</w:t>
      </w:r>
      <w:r w:rsidR="004601CB" w:rsidRPr="006D4AB3">
        <w:rPr>
          <w:rFonts w:ascii="Calibri" w:hAnsi="Calibri"/>
        </w:rPr>
        <w:t>ory impact</w:t>
      </w:r>
      <w:r w:rsidR="009943A9" w:rsidRPr="006D4AB3">
        <w:rPr>
          <w:rFonts w:ascii="Calibri" w:hAnsi="Calibri"/>
        </w:rPr>
        <w:t xml:space="preserve"> on women and children but </w:t>
      </w:r>
      <w:r w:rsidR="00D15A0B" w:rsidRPr="006D4AB3">
        <w:rPr>
          <w:rFonts w:ascii="Calibri" w:hAnsi="Calibri"/>
        </w:rPr>
        <w:t>that it was justified by the policy aim</w:t>
      </w:r>
      <w:r w:rsidR="00401E84" w:rsidRPr="006D4AB3">
        <w:rPr>
          <w:rFonts w:ascii="Calibri" w:hAnsi="Calibri"/>
        </w:rPr>
        <w:t xml:space="preserve"> – </w:t>
      </w:r>
      <w:r w:rsidR="00345A0B">
        <w:rPr>
          <w:rFonts w:ascii="Calibri" w:hAnsi="Calibri"/>
        </w:rPr>
        <w:t xml:space="preserve">but that it </w:t>
      </w:r>
      <w:r w:rsidR="004601CB" w:rsidRPr="006D4AB3">
        <w:rPr>
          <w:rFonts w:ascii="Calibri" w:hAnsi="Calibri"/>
        </w:rPr>
        <w:t>would not have been had the Convention on the Rights of the Child been incorporated in to UK law.</w:t>
      </w:r>
      <w:r w:rsidR="00D15A0B" w:rsidRPr="006D4AB3">
        <w:rPr>
          <w:rStyle w:val="EndnoteReference"/>
          <w:rFonts w:ascii="Calibri" w:hAnsi="Calibri"/>
        </w:rPr>
        <w:endnoteReference w:id="26"/>
      </w:r>
      <w:r w:rsidR="00345A0B">
        <w:rPr>
          <w:rFonts w:ascii="Calibri" w:hAnsi="Calibri"/>
        </w:rPr>
        <w:br/>
      </w:r>
      <w:r w:rsidR="00345A0B">
        <w:rPr>
          <w:rFonts w:ascii="Calibri" w:hAnsi="Calibri"/>
        </w:rPr>
        <w:br/>
      </w:r>
      <w:r w:rsidRPr="006D4AB3">
        <w:rPr>
          <w:rFonts w:ascii="Calibri" w:hAnsi="Calibri"/>
          <w:u w:val="single"/>
        </w:rPr>
        <w:t>The Under-Occupancy Penalty</w:t>
      </w:r>
      <w:r w:rsidRPr="006D4AB3">
        <w:rPr>
          <w:rFonts w:ascii="Calibri" w:hAnsi="Calibri"/>
          <w:i/>
        </w:rPr>
        <w:t xml:space="preserve"> (Bedroom Tax / Spare Room Subsidy) </w:t>
      </w:r>
    </w:p>
    <w:p w14:paraId="18594CFE" w14:textId="416715D2" w:rsidR="00506EFF" w:rsidRPr="006D4AB3" w:rsidRDefault="005D06F6" w:rsidP="00FE5112">
      <w:pPr>
        <w:ind w:left="720"/>
        <w:rPr>
          <w:rFonts w:ascii="Calibri" w:hAnsi="Calibri"/>
        </w:rPr>
      </w:pPr>
      <w:r w:rsidRPr="006D4AB3">
        <w:rPr>
          <w:rFonts w:ascii="Calibri" w:hAnsi="Calibri"/>
        </w:rPr>
        <w:t>People receiving Housing Benefit who are deemed to have more bedrooms than they need have their benefit reduced by 14% for one room and 25% for two or more. This further restricts the very low income of people in receipt of the benefit resulting in food insecurity, rent arrears and eviction. The majority of people affected are unable to downsize to a smaller house because of the chronic shortage of appropriate housing</w:t>
      </w:r>
      <w:r w:rsidR="00FE5112" w:rsidRPr="006D4AB3">
        <w:rPr>
          <w:rFonts w:ascii="Calibri" w:hAnsi="Calibri"/>
        </w:rPr>
        <w:t xml:space="preserve"> – especially accessible housing</w:t>
      </w:r>
      <w:r w:rsidR="005649B4" w:rsidRPr="006D4AB3">
        <w:rPr>
          <w:rFonts w:ascii="Calibri" w:hAnsi="Calibri"/>
        </w:rPr>
        <w:t xml:space="preserve">. </w:t>
      </w:r>
      <w:r w:rsidR="00D32A59" w:rsidRPr="006D4AB3">
        <w:rPr>
          <w:rFonts w:ascii="Calibri" w:hAnsi="Calibri"/>
          <w:b/>
        </w:rPr>
        <w:t>Two-thirds of people</w:t>
      </w:r>
      <w:r w:rsidR="005649B4" w:rsidRPr="006D4AB3">
        <w:rPr>
          <w:rFonts w:ascii="Calibri" w:hAnsi="Calibri"/>
          <w:b/>
        </w:rPr>
        <w:t xml:space="preserve"> impacted </w:t>
      </w:r>
      <w:r w:rsidR="00D32A59" w:rsidRPr="006D4AB3">
        <w:rPr>
          <w:rFonts w:ascii="Calibri" w:hAnsi="Calibri"/>
          <w:b/>
        </w:rPr>
        <w:t xml:space="preserve">by the policy </w:t>
      </w:r>
      <w:r w:rsidR="005649B4" w:rsidRPr="006D4AB3">
        <w:rPr>
          <w:rFonts w:ascii="Calibri" w:hAnsi="Calibri"/>
          <w:b/>
        </w:rPr>
        <w:t>are disabled</w:t>
      </w:r>
      <w:r w:rsidR="00FE5112" w:rsidRPr="006D4AB3">
        <w:rPr>
          <w:rFonts w:ascii="Calibri" w:hAnsi="Calibri"/>
        </w:rPr>
        <w:t xml:space="preserve">, 100,000 of </w:t>
      </w:r>
      <w:r w:rsidR="00087588">
        <w:rPr>
          <w:rFonts w:ascii="Calibri" w:hAnsi="Calibri"/>
        </w:rPr>
        <w:t xml:space="preserve">which live </w:t>
      </w:r>
      <w:r w:rsidR="002B679D">
        <w:rPr>
          <w:rFonts w:ascii="Calibri" w:hAnsi="Calibri"/>
        </w:rPr>
        <w:t>in specially adapted homes</w:t>
      </w:r>
      <w:r w:rsidR="00FE5112" w:rsidRPr="006D4AB3">
        <w:rPr>
          <w:rFonts w:ascii="Calibri" w:hAnsi="Calibri"/>
        </w:rPr>
        <w:t>.</w:t>
      </w:r>
      <w:r w:rsidR="00FE5112" w:rsidRPr="006D4AB3">
        <w:rPr>
          <w:rStyle w:val="EndnoteReference"/>
          <w:rFonts w:ascii="Calibri" w:hAnsi="Calibri"/>
        </w:rPr>
        <w:endnoteReference w:id="27"/>
      </w:r>
    </w:p>
    <w:p w14:paraId="6808D559" w14:textId="4CE13D5C" w:rsidR="00EE5297" w:rsidRPr="00345A0B" w:rsidRDefault="004D547B" w:rsidP="00345A0B">
      <w:pPr>
        <w:ind w:left="720"/>
        <w:rPr>
          <w:rFonts w:ascii="Calibri" w:hAnsi="Calibri"/>
          <w:color w:val="0070C0"/>
        </w:rPr>
      </w:pPr>
      <w:r w:rsidRPr="006D4AB3">
        <w:rPr>
          <w:rFonts w:ascii="Calibri" w:hAnsi="Calibri"/>
        </w:rPr>
        <w:t>The Court of Appeal recently declared that the penalty unlawfully discriminated against victims of domestic violence and disabled children</w:t>
      </w:r>
      <w:r w:rsidR="00334FBB" w:rsidRPr="006D4AB3">
        <w:rPr>
          <w:rFonts w:ascii="Calibri" w:hAnsi="Calibri"/>
        </w:rPr>
        <w:t xml:space="preserve">, though the UK Government is appealing this to the Supreme </w:t>
      </w:r>
      <w:r w:rsidR="00334FBB" w:rsidRPr="006D4AB3">
        <w:rPr>
          <w:rFonts w:ascii="Calibri" w:hAnsi="Calibri"/>
        </w:rPr>
        <w:lastRenderedPageBreak/>
        <w:t>Court.</w:t>
      </w:r>
      <w:r w:rsidRPr="006D4AB3">
        <w:rPr>
          <w:rStyle w:val="EndnoteReference"/>
          <w:rFonts w:ascii="Calibri" w:hAnsi="Calibri"/>
        </w:rPr>
        <w:endnoteReference w:id="28"/>
      </w:r>
      <w:r w:rsidRPr="006D4AB3">
        <w:rPr>
          <w:rFonts w:ascii="Calibri" w:hAnsi="Calibri"/>
        </w:rPr>
        <w:t xml:space="preserve"> </w:t>
      </w:r>
      <w:r w:rsidRPr="00877FE4">
        <w:rPr>
          <w:rFonts w:ascii="Calibri" w:hAnsi="Calibri"/>
          <w:color w:val="3366FF"/>
        </w:rPr>
        <w:t>The Scottish Government have mitigated the impact of the penalty through Discretionary Housing Payments.</w:t>
      </w:r>
      <w:r w:rsidRPr="00877FE4">
        <w:rPr>
          <w:rStyle w:val="EndnoteReference"/>
          <w:rFonts w:ascii="Calibri" w:hAnsi="Calibri"/>
          <w:color w:val="3366FF"/>
        </w:rPr>
        <w:endnoteReference w:id="29"/>
      </w:r>
      <w:r w:rsidR="00345A0B">
        <w:rPr>
          <w:rFonts w:ascii="Calibri" w:hAnsi="Calibri"/>
          <w:color w:val="0070C0"/>
        </w:rPr>
        <w:br/>
      </w:r>
      <w:r w:rsidR="00345A0B">
        <w:rPr>
          <w:rFonts w:ascii="Calibri" w:hAnsi="Calibri"/>
          <w:color w:val="0070C0"/>
        </w:rPr>
        <w:br/>
      </w:r>
      <w:r w:rsidR="003654D8" w:rsidRPr="006D4AB3">
        <w:rPr>
          <w:rFonts w:ascii="Calibri" w:hAnsi="Calibri"/>
          <w:u w:val="single"/>
        </w:rPr>
        <w:t xml:space="preserve">Unemployment benefits and support </w:t>
      </w:r>
      <w:r w:rsidR="003654D8" w:rsidRPr="006D4AB3">
        <w:rPr>
          <w:rFonts w:ascii="Calibri" w:hAnsi="Calibri"/>
          <w:i/>
        </w:rPr>
        <w:t xml:space="preserve">– </w:t>
      </w:r>
      <w:r w:rsidR="001E3B90" w:rsidRPr="006D4AB3">
        <w:rPr>
          <w:rFonts w:ascii="Calibri" w:hAnsi="Calibri"/>
          <w:i/>
        </w:rPr>
        <w:t xml:space="preserve">inadequate, </w:t>
      </w:r>
      <w:r w:rsidR="003654D8" w:rsidRPr="006D4AB3">
        <w:rPr>
          <w:rFonts w:ascii="Calibri" w:hAnsi="Calibri"/>
          <w:i/>
        </w:rPr>
        <w:t>conditionality, sanctions, and cuts</w:t>
      </w:r>
      <w:r w:rsidR="00506EFF" w:rsidRPr="006D4AB3">
        <w:rPr>
          <w:rFonts w:ascii="Calibri" w:hAnsi="Calibri"/>
          <w:i/>
        </w:rPr>
        <w:t>:</w:t>
      </w:r>
      <w:r w:rsidR="00EE5297" w:rsidRPr="006D4AB3">
        <w:rPr>
          <w:rFonts w:ascii="Calibri" w:hAnsi="Calibri"/>
          <w:i/>
        </w:rPr>
        <w:t xml:space="preserve"> </w:t>
      </w:r>
    </w:p>
    <w:p w14:paraId="35ED9A63" w14:textId="77FBCBBC" w:rsidR="00B777EC" w:rsidRPr="006D4AB3" w:rsidRDefault="00345A0B" w:rsidP="00B777EC">
      <w:pPr>
        <w:ind w:left="720"/>
        <w:rPr>
          <w:rFonts w:ascii="Calibri" w:hAnsi="Calibri"/>
        </w:rPr>
      </w:pPr>
      <w:r w:rsidRPr="006D4AB3">
        <w:rPr>
          <w:rFonts w:ascii="Calibri" w:hAnsi="Calibri"/>
          <w:noProof/>
          <w:color w:val="FF0000"/>
          <w:lang w:val="en-US"/>
        </w:rPr>
        <mc:AlternateContent>
          <mc:Choice Requires="wps">
            <w:drawing>
              <wp:anchor distT="0" distB="0" distL="114300" distR="114300" simplePos="0" relativeHeight="251672576" behindDoc="0" locked="0" layoutInCell="1" allowOverlap="1" wp14:anchorId="4EAC7544" wp14:editId="48943A21">
                <wp:simplePos x="0" y="0"/>
                <wp:positionH relativeFrom="margin">
                  <wp:posOffset>0</wp:posOffset>
                </wp:positionH>
                <wp:positionV relativeFrom="paragraph">
                  <wp:posOffset>-837565</wp:posOffset>
                </wp:positionV>
                <wp:extent cx="0" cy="9024620"/>
                <wp:effectExtent l="0" t="0" r="25400" b="0"/>
                <wp:wrapNone/>
                <wp:docPr id="10" name="Straight Connector 10"/>
                <wp:cNvGraphicFramePr/>
                <a:graphic xmlns:a="http://schemas.openxmlformats.org/drawingml/2006/main">
                  <a:graphicData uri="http://schemas.microsoft.com/office/word/2010/wordprocessingShape">
                    <wps:wsp>
                      <wps:cNvCnPr/>
                      <wps:spPr>
                        <a:xfrm flipH="1">
                          <a:off x="0" y="0"/>
                          <a:ext cx="0" cy="9024620"/>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5B74D1"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95pt" to="0,6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" strokecolor="red" strokeweight="2pt">
                <v:stroke dashstyle="dash" joinstyle="miter"/>
                <w10:wrap anchorx="margin"/>
              </v:line>
            </w:pict>
          </mc:Fallback>
        </mc:AlternateContent>
      </w:r>
      <w:r w:rsidR="00506EFF" w:rsidRPr="006D4AB3">
        <w:rPr>
          <w:rFonts w:ascii="Calibri" w:hAnsi="Calibri"/>
        </w:rPr>
        <w:t>The combination of harsh conditionality and even harsher sanctions</w:t>
      </w:r>
      <w:r w:rsidR="008C58EA" w:rsidRPr="006D4AB3">
        <w:rPr>
          <w:rFonts w:ascii="Calibri" w:hAnsi="Calibri"/>
        </w:rPr>
        <w:t xml:space="preserve"> across the two main unemployment benefits, </w:t>
      </w:r>
      <w:r w:rsidR="008C58EA" w:rsidRPr="006D4AB3">
        <w:rPr>
          <w:rFonts w:ascii="Calibri" w:hAnsi="Calibri"/>
          <w:i/>
        </w:rPr>
        <w:t>Job-Seekers Allowance</w:t>
      </w:r>
      <w:r w:rsidR="008C58EA" w:rsidRPr="006D4AB3">
        <w:rPr>
          <w:rFonts w:ascii="Calibri" w:hAnsi="Calibri"/>
        </w:rPr>
        <w:t xml:space="preserve"> (JSA) and </w:t>
      </w:r>
      <w:r w:rsidR="008C58EA" w:rsidRPr="006D4AB3">
        <w:rPr>
          <w:rFonts w:ascii="Calibri" w:hAnsi="Calibri"/>
          <w:i/>
        </w:rPr>
        <w:t>Employment Support Allowance</w:t>
      </w:r>
      <w:r w:rsidR="008C58EA" w:rsidRPr="006D4AB3">
        <w:rPr>
          <w:rFonts w:ascii="Calibri" w:hAnsi="Calibri"/>
        </w:rPr>
        <w:t xml:space="preserve"> have resulted in more people falling out of the social security system than finding paid work.</w:t>
      </w:r>
      <w:r w:rsidR="008C58EA" w:rsidRPr="006D4AB3">
        <w:rPr>
          <w:rStyle w:val="EndnoteReference"/>
          <w:rFonts w:ascii="Calibri" w:hAnsi="Calibri"/>
        </w:rPr>
        <w:endnoteReference w:id="30"/>
      </w:r>
      <w:r w:rsidR="00B777EC" w:rsidRPr="006D4AB3">
        <w:rPr>
          <w:rFonts w:ascii="Calibri" w:hAnsi="Calibri"/>
        </w:rPr>
        <w:t xml:space="preserve"> The quality of employment is also low, resulting in 20% of people becoming unemployed within a year.</w:t>
      </w:r>
      <w:r w:rsidR="00B777EC" w:rsidRPr="006D4AB3">
        <w:rPr>
          <w:rStyle w:val="EndnoteReference"/>
          <w:rFonts w:ascii="Calibri" w:hAnsi="Calibri"/>
        </w:rPr>
        <w:endnoteReference w:id="31"/>
      </w:r>
    </w:p>
    <w:p w14:paraId="7748A6BF" w14:textId="77777777" w:rsidR="00463460" w:rsidRPr="006D4AB3" w:rsidRDefault="004D547B" w:rsidP="00463460">
      <w:pPr>
        <w:ind w:left="720"/>
        <w:rPr>
          <w:rFonts w:ascii="Calibri" w:hAnsi="Calibri"/>
        </w:rPr>
      </w:pPr>
      <w:r w:rsidRPr="006D4AB3">
        <w:rPr>
          <w:rFonts w:ascii="Calibri" w:hAnsi="Calibri"/>
        </w:rPr>
        <w:t xml:space="preserve">People </w:t>
      </w:r>
      <w:r w:rsidR="00463460" w:rsidRPr="006D4AB3">
        <w:rPr>
          <w:rFonts w:ascii="Calibri" w:hAnsi="Calibri"/>
        </w:rPr>
        <w:t>who are unemployed are entitled to JSA of</w:t>
      </w:r>
      <w:r w:rsidRPr="006D4AB3">
        <w:rPr>
          <w:rFonts w:ascii="Calibri" w:hAnsi="Calibri"/>
        </w:rPr>
        <w:t xml:space="preserve"> </w:t>
      </w:r>
      <w:r w:rsidR="00463460" w:rsidRPr="006D4AB3">
        <w:rPr>
          <w:rFonts w:ascii="Calibri" w:hAnsi="Calibri"/>
        </w:rPr>
        <w:t>£73.10 a week or £57.90 if under 25. People who are unemployed and disabled or suffering from an illness are entitled to one of two levels of ESA depending on whether the DWP believes the person will be able to take up employment within a year (the work related activity group – WRAG) or not (the support group). People in the WRAG are then entitled to up to £102.15 a week and people in the support group up to £109.30 a week. All of these rates are well below the Minimum</w:t>
      </w:r>
      <w:r w:rsidR="00704E51" w:rsidRPr="006D4AB3">
        <w:rPr>
          <w:rFonts w:ascii="Calibri" w:hAnsi="Calibri"/>
        </w:rPr>
        <w:t xml:space="preserve"> Income Standard </w:t>
      </w:r>
      <w:r w:rsidR="00704E51" w:rsidRPr="006D4AB3">
        <w:rPr>
          <w:rFonts w:ascii="Calibri" w:hAnsi="Calibri"/>
          <w:b/>
        </w:rPr>
        <w:t xml:space="preserve">- </w:t>
      </w:r>
      <w:r w:rsidR="00463460" w:rsidRPr="006D4AB3">
        <w:rPr>
          <w:rFonts w:ascii="Calibri" w:hAnsi="Calibri"/>
          <w:b/>
        </w:rPr>
        <w:t xml:space="preserve">on average </w:t>
      </w:r>
      <w:r w:rsidR="00704E51" w:rsidRPr="006D4AB3">
        <w:rPr>
          <w:rFonts w:ascii="Calibri" w:hAnsi="Calibri"/>
          <w:b/>
        </w:rPr>
        <w:t xml:space="preserve">only covering </w:t>
      </w:r>
      <w:r w:rsidR="00463460" w:rsidRPr="006D4AB3">
        <w:rPr>
          <w:rFonts w:ascii="Calibri" w:hAnsi="Calibri"/>
          <w:b/>
        </w:rPr>
        <w:t xml:space="preserve">40% </w:t>
      </w:r>
      <w:r w:rsidR="00704E51" w:rsidRPr="006D4AB3">
        <w:rPr>
          <w:rFonts w:ascii="Calibri" w:hAnsi="Calibri"/>
          <w:b/>
        </w:rPr>
        <w:t>of the essentials</w:t>
      </w:r>
      <w:r w:rsidR="00704E51" w:rsidRPr="006D4AB3">
        <w:rPr>
          <w:rFonts w:ascii="Calibri" w:hAnsi="Calibri"/>
        </w:rPr>
        <w:t>, almost certainly leaving a person food insecure.</w:t>
      </w:r>
      <w:r w:rsidR="00704E51" w:rsidRPr="006D4AB3">
        <w:rPr>
          <w:rStyle w:val="EndnoteReference"/>
          <w:rFonts w:ascii="Calibri" w:hAnsi="Calibri"/>
        </w:rPr>
        <w:endnoteReference w:id="32"/>
      </w:r>
    </w:p>
    <w:p w14:paraId="3931E4F9" w14:textId="5FB549B2" w:rsidR="000D2B5C" w:rsidRPr="006D4AB3" w:rsidRDefault="001E3B90" w:rsidP="001E3B90">
      <w:pPr>
        <w:ind w:left="720"/>
        <w:rPr>
          <w:rFonts w:ascii="Calibri" w:hAnsi="Calibri"/>
        </w:rPr>
      </w:pPr>
      <w:r w:rsidRPr="006D4AB3">
        <w:rPr>
          <w:rFonts w:ascii="Calibri" w:hAnsi="Calibri"/>
        </w:rPr>
        <w:t xml:space="preserve">All people receiving unemployment benefits are now required to agree to </w:t>
      </w:r>
      <w:r w:rsidR="004D547B" w:rsidRPr="006D4AB3">
        <w:rPr>
          <w:rFonts w:ascii="Calibri" w:hAnsi="Calibri"/>
        </w:rPr>
        <w:t xml:space="preserve">a </w:t>
      </w:r>
      <w:r w:rsidR="004D547B" w:rsidRPr="006D4AB3">
        <w:rPr>
          <w:rFonts w:ascii="Calibri" w:hAnsi="Calibri"/>
          <w:i/>
        </w:rPr>
        <w:t>Claimant Commitment</w:t>
      </w:r>
      <w:r w:rsidR="004D547B" w:rsidRPr="006D4AB3">
        <w:rPr>
          <w:rFonts w:ascii="Calibri" w:hAnsi="Calibri"/>
        </w:rPr>
        <w:t>. This operates like a contract - stipulating expectations from a person claiming the benefit. The expectations range from</w:t>
      </w:r>
      <w:r w:rsidRPr="006D4AB3">
        <w:rPr>
          <w:rFonts w:ascii="Calibri" w:hAnsi="Calibri"/>
        </w:rPr>
        <w:t xml:space="preserve"> attending appointments</w:t>
      </w:r>
      <w:r w:rsidR="000D2B5C" w:rsidRPr="006D4AB3">
        <w:rPr>
          <w:rFonts w:ascii="Calibri" w:hAnsi="Calibri"/>
        </w:rPr>
        <w:t xml:space="preserve"> </w:t>
      </w:r>
      <w:r w:rsidRPr="006D4AB3">
        <w:rPr>
          <w:rFonts w:ascii="Calibri" w:hAnsi="Calibri"/>
        </w:rPr>
        <w:t xml:space="preserve">and assessments </w:t>
      </w:r>
      <w:r w:rsidR="000D2B5C" w:rsidRPr="006D4AB3">
        <w:rPr>
          <w:rFonts w:ascii="Calibri" w:hAnsi="Calibri"/>
        </w:rPr>
        <w:t xml:space="preserve">on time, </w:t>
      </w:r>
      <w:r w:rsidRPr="006D4AB3">
        <w:rPr>
          <w:rFonts w:ascii="Calibri" w:hAnsi="Calibri"/>
        </w:rPr>
        <w:t>to</w:t>
      </w:r>
      <w:r w:rsidR="004D547B" w:rsidRPr="006D4AB3">
        <w:rPr>
          <w:rFonts w:ascii="Calibri" w:hAnsi="Calibri"/>
        </w:rPr>
        <w:t xml:space="preserve"> </w:t>
      </w:r>
      <w:r w:rsidRPr="006D4AB3">
        <w:rPr>
          <w:rFonts w:ascii="Calibri" w:hAnsi="Calibri"/>
        </w:rPr>
        <w:t>applying for a certain number of jobs,</w:t>
      </w:r>
      <w:r w:rsidR="000D2B5C" w:rsidRPr="006D4AB3">
        <w:rPr>
          <w:rFonts w:ascii="Calibri" w:hAnsi="Calibri"/>
        </w:rPr>
        <w:t xml:space="preserve"> to accepting job offers.</w:t>
      </w:r>
      <w:r w:rsidRPr="006D4AB3">
        <w:rPr>
          <w:rFonts w:ascii="Calibri" w:hAnsi="Calibri"/>
        </w:rPr>
        <w:t xml:space="preserve"> </w:t>
      </w:r>
      <w:r w:rsidR="004E0F75" w:rsidRPr="006D4AB3">
        <w:rPr>
          <w:rFonts w:ascii="Calibri" w:hAnsi="Calibri"/>
        </w:rPr>
        <w:t xml:space="preserve">Until recently many people on JSA were also required to work for their entitlements under a Mandatory Work Programme. </w:t>
      </w:r>
      <w:r w:rsidR="000D2B5C" w:rsidRPr="006D4AB3">
        <w:rPr>
          <w:rFonts w:ascii="Calibri" w:hAnsi="Calibri"/>
        </w:rPr>
        <w:t>N</w:t>
      </w:r>
      <w:r w:rsidRPr="006D4AB3">
        <w:rPr>
          <w:rFonts w:ascii="Calibri" w:hAnsi="Calibri"/>
        </w:rPr>
        <w:t xml:space="preserve">on-compliance can lead to a sanction </w:t>
      </w:r>
      <w:r w:rsidRPr="006D4AB3">
        <w:rPr>
          <w:rFonts w:ascii="Calibri" w:hAnsi="Calibri"/>
          <w:b/>
        </w:rPr>
        <w:t xml:space="preserve">– reducing payments to zero for between </w:t>
      </w:r>
      <w:r w:rsidR="000D2B5C" w:rsidRPr="006D4AB3">
        <w:rPr>
          <w:rFonts w:ascii="Calibri" w:hAnsi="Calibri"/>
          <w:b/>
        </w:rPr>
        <w:t>4 weeks</w:t>
      </w:r>
      <w:r w:rsidRPr="006D4AB3">
        <w:rPr>
          <w:rFonts w:ascii="Calibri" w:hAnsi="Calibri"/>
          <w:b/>
        </w:rPr>
        <w:t xml:space="preserve"> and </w:t>
      </w:r>
      <w:r w:rsidR="000D2B5C" w:rsidRPr="006D4AB3">
        <w:rPr>
          <w:rFonts w:ascii="Calibri" w:hAnsi="Calibri"/>
          <w:b/>
        </w:rPr>
        <w:t>156</w:t>
      </w:r>
      <w:r w:rsidRPr="006D4AB3">
        <w:rPr>
          <w:rFonts w:ascii="Calibri" w:hAnsi="Calibri"/>
          <w:b/>
        </w:rPr>
        <w:t xml:space="preserve"> weeks</w:t>
      </w:r>
      <w:r w:rsidR="000D2B5C" w:rsidRPr="006D4AB3">
        <w:rPr>
          <w:rFonts w:ascii="Calibri" w:hAnsi="Calibri"/>
        </w:rPr>
        <w:t xml:space="preserve"> (3 years)</w:t>
      </w:r>
      <w:r w:rsidRPr="006D4AB3">
        <w:rPr>
          <w:rFonts w:ascii="Calibri" w:hAnsi="Calibri"/>
        </w:rPr>
        <w:t>.</w:t>
      </w:r>
      <w:r w:rsidR="004E0F75" w:rsidRPr="006D4AB3">
        <w:rPr>
          <w:rFonts w:ascii="Calibri" w:hAnsi="Calibri"/>
        </w:rPr>
        <w:t xml:space="preserve"> </w:t>
      </w:r>
      <w:r w:rsidR="000D2B5C" w:rsidRPr="006D4AB3">
        <w:rPr>
          <w:rFonts w:ascii="Calibri" w:hAnsi="Calibri"/>
        </w:rPr>
        <w:t xml:space="preserve">People considered vulnerable </w:t>
      </w:r>
      <w:proofErr w:type="gramStart"/>
      <w:r w:rsidR="000D2B5C" w:rsidRPr="006D4AB3">
        <w:rPr>
          <w:rFonts w:ascii="Calibri" w:hAnsi="Calibri"/>
        </w:rPr>
        <w:t>may</w:t>
      </w:r>
      <w:proofErr w:type="gramEnd"/>
      <w:r w:rsidR="000D2B5C" w:rsidRPr="006D4AB3">
        <w:rPr>
          <w:rFonts w:ascii="Calibri" w:hAnsi="Calibri"/>
        </w:rPr>
        <w:t xml:space="preserve"> be entitled to a discretionary hardship payment during a sanction of 60% of their previous entitlement, though people are often not informed of this.</w:t>
      </w:r>
      <w:r w:rsidR="000D2B5C" w:rsidRPr="006D4AB3">
        <w:rPr>
          <w:rStyle w:val="EndnoteReference"/>
          <w:rFonts w:ascii="Calibri" w:hAnsi="Calibri"/>
        </w:rPr>
        <w:endnoteReference w:id="33"/>
      </w:r>
      <w:r w:rsidR="000D2B5C" w:rsidRPr="006D4AB3">
        <w:rPr>
          <w:rFonts w:ascii="Calibri" w:hAnsi="Calibri"/>
        </w:rPr>
        <w:t xml:space="preserve"> Sanctions </w:t>
      </w:r>
      <w:r w:rsidR="00407C3E" w:rsidRPr="006D4AB3">
        <w:rPr>
          <w:rFonts w:ascii="Calibri" w:hAnsi="Calibri"/>
        </w:rPr>
        <w:t>reach</w:t>
      </w:r>
      <w:r w:rsidR="0009465B" w:rsidRPr="006D4AB3">
        <w:rPr>
          <w:rFonts w:ascii="Calibri" w:hAnsi="Calibri"/>
        </w:rPr>
        <w:t>ed</w:t>
      </w:r>
      <w:r w:rsidR="00407C3E" w:rsidRPr="006D4AB3">
        <w:rPr>
          <w:rFonts w:ascii="Calibri" w:hAnsi="Calibri"/>
        </w:rPr>
        <w:t xml:space="preserve"> a peak in 2013/14 impacting on 18.4% JSA applicants, </w:t>
      </w:r>
      <w:r w:rsidR="000D2B5C" w:rsidRPr="006D4AB3">
        <w:rPr>
          <w:rFonts w:ascii="Calibri" w:hAnsi="Calibri"/>
        </w:rPr>
        <w:t>with some evidence of target-driven sanctioning</w:t>
      </w:r>
      <w:r w:rsidR="00407C3E" w:rsidRPr="006D4AB3">
        <w:rPr>
          <w:rFonts w:ascii="Calibri" w:hAnsi="Calibri"/>
        </w:rPr>
        <w:t>, though has slightly decline</w:t>
      </w:r>
      <w:r w:rsidR="0009465B" w:rsidRPr="006D4AB3">
        <w:rPr>
          <w:rFonts w:ascii="Calibri" w:hAnsi="Calibri"/>
        </w:rPr>
        <w:t>d</w:t>
      </w:r>
      <w:r w:rsidR="00407C3E" w:rsidRPr="006D4AB3">
        <w:rPr>
          <w:rFonts w:ascii="Calibri" w:hAnsi="Calibri"/>
        </w:rPr>
        <w:t xml:space="preserve"> since</w:t>
      </w:r>
      <w:r w:rsidR="000D2B5C" w:rsidRPr="006D4AB3">
        <w:rPr>
          <w:rFonts w:ascii="Calibri" w:hAnsi="Calibri"/>
        </w:rPr>
        <w:t xml:space="preserve">. </w:t>
      </w:r>
      <w:r w:rsidR="00407C3E" w:rsidRPr="006D4AB3">
        <w:rPr>
          <w:rFonts w:ascii="Calibri" w:hAnsi="Calibri"/>
        </w:rPr>
        <w:t>50</w:t>
      </w:r>
      <w:r w:rsidR="000D2B5C" w:rsidRPr="006D4AB3">
        <w:rPr>
          <w:rFonts w:ascii="Calibri" w:hAnsi="Calibri"/>
        </w:rPr>
        <w:t>%</w:t>
      </w:r>
      <w:r w:rsidR="00407C3E" w:rsidRPr="006D4AB3">
        <w:rPr>
          <w:rFonts w:ascii="Calibri" w:hAnsi="Calibri"/>
        </w:rPr>
        <w:t xml:space="preserve"> JSA appeals and </w:t>
      </w:r>
      <w:r w:rsidR="00407C3E" w:rsidRPr="006D4AB3">
        <w:rPr>
          <w:rFonts w:ascii="Calibri" w:hAnsi="Calibri"/>
          <w:b/>
        </w:rPr>
        <w:t>70% of ESA</w:t>
      </w:r>
      <w:r w:rsidR="000D2B5C" w:rsidRPr="006D4AB3">
        <w:rPr>
          <w:rFonts w:ascii="Calibri" w:hAnsi="Calibri"/>
          <w:b/>
        </w:rPr>
        <w:t xml:space="preserve"> appeals have been successful</w:t>
      </w:r>
      <w:r w:rsidR="000D2B5C" w:rsidRPr="006D4AB3">
        <w:rPr>
          <w:rFonts w:ascii="Calibri" w:hAnsi="Calibri"/>
        </w:rPr>
        <w:t xml:space="preserve">, </w:t>
      </w:r>
      <w:r w:rsidR="0009465B" w:rsidRPr="006D4AB3">
        <w:rPr>
          <w:rFonts w:ascii="Calibri" w:hAnsi="Calibri"/>
        </w:rPr>
        <w:t>but</w:t>
      </w:r>
      <w:r w:rsidR="00407C3E" w:rsidRPr="006D4AB3">
        <w:rPr>
          <w:rFonts w:ascii="Calibri" w:hAnsi="Calibri"/>
        </w:rPr>
        <w:t xml:space="preserve"> </w:t>
      </w:r>
      <w:r w:rsidR="00494B23" w:rsidRPr="006D4AB3">
        <w:rPr>
          <w:rFonts w:ascii="Calibri" w:hAnsi="Calibri"/>
        </w:rPr>
        <w:t>the rate of appeals is very low</w:t>
      </w:r>
      <w:r w:rsidR="000D2B5C" w:rsidRPr="006D4AB3">
        <w:rPr>
          <w:rFonts w:ascii="Calibri" w:hAnsi="Calibri"/>
        </w:rPr>
        <w:t xml:space="preserve"> –</w:t>
      </w:r>
      <w:r w:rsidR="00E901FF">
        <w:rPr>
          <w:rFonts w:ascii="Calibri" w:hAnsi="Calibri"/>
        </w:rPr>
        <w:t xml:space="preserve"> </w:t>
      </w:r>
      <w:r w:rsidR="000D2B5C" w:rsidRPr="006D4AB3">
        <w:rPr>
          <w:rFonts w:ascii="Calibri" w:hAnsi="Calibri"/>
        </w:rPr>
        <w:t xml:space="preserve">local authority budget cuts have decreased access to advice services </w:t>
      </w:r>
      <w:r w:rsidR="0009465B" w:rsidRPr="006D4AB3">
        <w:rPr>
          <w:rFonts w:ascii="Calibri" w:hAnsi="Calibri"/>
        </w:rPr>
        <w:t>and</w:t>
      </w:r>
      <w:r w:rsidR="00494B23" w:rsidRPr="006D4AB3">
        <w:rPr>
          <w:rFonts w:ascii="Calibri" w:hAnsi="Calibri"/>
        </w:rPr>
        <w:t xml:space="preserve"> contributed to</w:t>
      </w:r>
      <w:r w:rsidR="0009465B" w:rsidRPr="006D4AB3">
        <w:rPr>
          <w:rFonts w:ascii="Calibri" w:hAnsi="Calibri"/>
        </w:rPr>
        <w:t xml:space="preserve"> </w:t>
      </w:r>
      <w:r w:rsidR="000D2B5C" w:rsidRPr="006D4AB3">
        <w:rPr>
          <w:rFonts w:ascii="Calibri" w:hAnsi="Calibri"/>
        </w:rPr>
        <w:t>this.</w:t>
      </w:r>
      <w:r w:rsidR="0009465B" w:rsidRPr="006D4AB3">
        <w:rPr>
          <w:rStyle w:val="EndnoteReference"/>
          <w:rFonts w:ascii="Calibri" w:hAnsi="Calibri"/>
        </w:rPr>
        <w:endnoteReference w:id="34"/>
      </w:r>
      <w:r w:rsidR="0009465B" w:rsidRPr="006D4AB3">
        <w:rPr>
          <w:rFonts w:ascii="Calibri" w:hAnsi="Calibri"/>
        </w:rPr>
        <w:t xml:space="preserve"> </w:t>
      </w:r>
    </w:p>
    <w:p w14:paraId="61F1D03B" w14:textId="4AF2B663" w:rsidR="00506EFF" w:rsidRPr="00345A0B" w:rsidRDefault="00626E91" w:rsidP="00345A0B">
      <w:pPr>
        <w:ind w:left="720"/>
        <w:rPr>
          <w:rFonts w:ascii="Calibri" w:hAnsi="Calibri"/>
          <w:color w:val="0000FF"/>
        </w:rPr>
      </w:pPr>
      <w:r w:rsidRPr="006D4AB3">
        <w:rPr>
          <w:rFonts w:ascii="Calibri" w:hAnsi="Calibri"/>
        </w:rPr>
        <w:t xml:space="preserve">The Work and Welfare Act 2016 recently cut ESA by £30 for new applicants in WRAG. </w:t>
      </w:r>
      <w:r w:rsidR="00CD26F7" w:rsidRPr="006D4AB3">
        <w:rPr>
          <w:rFonts w:ascii="Calibri" w:hAnsi="Calibri"/>
        </w:rPr>
        <w:t xml:space="preserve">There are also wider concerns with the assessments used to decide whether a person is fit to work, including the cost of paying for medical </w:t>
      </w:r>
      <w:proofErr w:type="gramStart"/>
      <w:r w:rsidR="00CD26F7" w:rsidRPr="006D4AB3">
        <w:rPr>
          <w:rFonts w:ascii="Calibri" w:hAnsi="Calibri"/>
        </w:rPr>
        <w:t>evidence which</w:t>
      </w:r>
      <w:proofErr w:type="gramEnd"/>
      <w:r w:rsidR="00CD26F7" w:rsidRPr="006D4AB3">
        <w:rPr>
          <w:rFonts w:ascii="Calibri" w:hAnsi="Calibri"/>
        </w:rPr>
        <w:t xml:space="preserve"> sometimes exceeded a person’s weekly benefit.</w:t>
      </w:r>
      <w:r w:rsidR="00CD26F7" w:rsidRPr="006D4AB3">
        <w:rPr>
          <w:rStyle w:val="EndnoteReference"/>
          <w:rFonts w:ascii="Calibri" w:hAnsi="Calibri"/>
        </w:rPr>
        <w:endnoteReference w:id="35"/>
      </w:r>
      <w:r w:rsidR="00CD26F7" w:rsidRPr="006D4AB3">
        <w:rPr>
          <w:rFonts w:ascii="Calibri" w:hAnsi="Calibri"/>
        </w:rPr>
        <w:t xml:space="preserve"> </w:t>
      </w:r>
      <w:r w:rsidRPr="00877FE4">
        <w:rPr>
          <w:rFonts w:ascii="Calibri" w:hAnsi="Calibri"/>
          <w:color w:val="3366FF"/>
        </w:rPr>
        <w:t xml:space="preserve">The Scottish Government will </w:t>
      </w:r>
      <w:r w:rsidR="00E901FF">
        <w:rPr>
          <w:rFonts w:ascii="Calibri" w:hAnsi="Calibri"/>
          <w:color w:val="3366FF"/>
        </w:rPr>
        <w:t>receive</w:t>
      </w:r>
      <w:r w:rsidRPr="00877FE4">
        <w:rPr>
          <w:rFonts w:ascii="Calibri" w:hAnsi="Calibri"/>
          <w:color w:val="3366FF"/>
        </w:rPr>
        <w:t xml:space="preserve"> some control over work</w:t>
      </w:r>
      <w:r w:rsidR="004E0F75" w:rsidRPr="00877FE4">
        <w:rPr>
          <w:rFonts w:ascii="Calibri" w:hAnsi="Calibri"/>
          <w:color w:val="3366FF"/>
        </w:rPr>
        <w:t xml:space="preserve"> related </w:t>
      </w:r>
      <w:r w:rsidRPr="00877FE4">
        <w:rPr>
          <w:rFonts w:ascii="Calibri" w:hAnsi="Calibri"/>
          <w:color w:val="3366FF"/>
        </w:rPr>
        <w:t>programmes</w:t>
      </w:r>
      <w:r w:rsidR="004E0F75" w:rsidRPr="00877FE4">
        <w:rPr>
          <w:rFonts w:ascii="Calibri" w:hAnsi="Calibri"/>
          <w:color w:val="3366FF"/>
        </w:rPr>
        <w:t xml:space="preserve"> for people on JSA and ESA WRAG</w:t>
      </w:r>
      <w:r w:rsidRPr="00877FE4">
        <w:rPr>
          <w:rFonts w:ascii="Calibri" w:hAnsi="Calibri"/>
          <w:color w:val="3366FF"/>
        </w:rPr>
        <w:t>, but decisions relating to sanctions will remain reserved to the D</w:t>
      </w:r>
      <w:r w:rsidR="00E901FF">
        <w:rPr>
          <w:rFonts w:ascii="Calibri" w:hAnsi="Calibri"/>
          <w:color w:val="3366FF"/>
        </w:rPr>
        <w:t>epartment for Work and Pensions (DWP)</w:t>
      </w:r>
      <w:r w:rsidRPr="00877FE4">
        <w:rPr>
          <w:rFonts w:ascii="Calibri" w:hAnsi="Calibri"/>
          <w:color w:val="3366FF"/>
        </w:rPr>
        <w:t>.</w:t>
      </w:r>
      <w:r w:rsidR="00345A0B">
        <w:rPr>
          <w:rFonts w:ascii="Calibri" w:hAnsi="Calibri"/>
          <w:color w:val="0000FF"/>
        </w:rPr>
        <w:br/>
      </w:r>
      <w:r w:rsidR="00345A0B">
        <w:rPr>
          <w:rFonts w:ascii="Calibri" w:hAnsi="Calibri"/>
          <w:color w:val="0000FF"/>
        </w:rPr>
        <w:br/>
      </w:r>
      <w:r w:rsidR="003654D8" w:rsidRPr="006D4AB3">
        <w:rPr>
          <w:rFonts w:ascii="Calibri" w:hAnsi="Calibri"/>
          <w:u w:val="single"/>
        </w:rPr>
        <w:t xml:space="preserve">Disability benefits and support </w:t>
      </w:r>
      <w:r w:rsidR="003654D8" w:rsidRPr="006D4AB3">
        <w:rPr>
          <w:rFonts w:ascii="Calibri" w:hAnsi="Calibri"/>
        </w:rPr>
        <w:t xml:space="preserve">– </w:t>
      </w:r>
      <w:r w:rsidR="003654D8" w:rsidRPr="006D4AB3">
        <w:rPr>
          <w:rFonts w:ascii="Calibri" w:hAnsi="Calibri"/>
          <w:i/>
        </w:rPr>
        <w:t>eligibility criteria, assessments and cuts</w:t>
      </w:r>
    </w:p>
    <w:p w14:paraId="14CE488B" w14:textId="5BE4177D" w:rsidR="00506EFF" w:rsidRPr="006D4AB3" w:rsidRDefault="00506EFF" w:rsidP="00E915D9">
      <w:pPr>
        <w:ind w:left="720"/>
        <w:rPr>
          <w:rFonts w:ascii="Calibri" w:hAnsi="Calibri"/>
        </w:rPr>
      </w:pPr>
      <w:r w:rsidRPr="006D4AB3">
        <w:rPr>
          <w:rFonts w:ascii="Calibri" w:hAnsi="Calibri"/>
        </w:rPr>
        <w:t xml:space="preserve">In the Welfare Reform Act 2012 the government committed to progressively abolishing </w:t>
      </w:r>
      <w:r w:rsidRPr="006D4AB3">
        <w:rPr>
          <w:rFonts w:ascii="Calibri" w:hAnsi="Calibri"/>
          <w:i/>
        </w:rPr>
        <w:t>Disability Living Allowance</w:t>
      </w:r>
      <w:r w:rsidRPr="006D4AB3">
        <w:rPr>
          <w:rFonts w:ascii="Calibri" w:hAnsi="Calibri"/>
        </w:rPr>
        <w:t xml:space="preserve"> (DLA), a non-means tested benefit which contributes towards the extra costs of being disabled, and that disabled people would have to apply for a new benefit – </w:t>
      </w:r>
      <w:r w:rsidRPr="006D4AB3">
        <w:rPr>
          <w:rFonts w:ascii="Calibri" w:hAnsi="Calibri"/>
          <w:i/>
        </w:rPr>
        <w:t xml:space="preserve">Personal Independence Payments </w:t>
      </w:r>
      <w:r w:rsidRPr="006D4AB3">
        <w:rPr>
          <w:rFonts w:ascii="Calibri" w:hAnsi="Calibri"/>
        </w:rPr>
        <w:t xml:space="preserve">(PIP). The reformed criteria </w:t>
      </w:r>
      <w:r w:rsidR="004E0F75" w:rsidRPr="006D4AB3">
        <w:rPr>
          <w:rFonts w:ascii="Calibri" w:hAnsi="Calibri"/>
        </w:rPr>
        <w:t xml:space="preserve">for PIP are much more limited and </w:t>
      </w:r>
      <w:r w:rsidRPr="006D4AB3">
        <w:rPr>
          <w:rFonts w:ascii="Calibri" w:hAnsi="Calibri"/>
        </w:rPr>
        <w:t>are anticipated to reduce or stop payments</w:t>
      </w:r>
      <w:r w:rsidR="00E901FF">
        <w:rPr>
          <w:rFonts w:ascii="Calibri" w:hAnsi="Calibri"/>
        </w:rPr>
        <w:t xml:space="preserve"> to</w:t>
      </w:r>
      <w:r w:rsidRPr="006D4AB3">
        <w:rPr>
          <w:rFonts w:ascii="Calibri" w:hAnsi="Calibri"/>
        </w:rPr>
        <w:t xml:space="preserve"> 55% of people previously eligible for DLA.</w:t>
      </w:r>
      <w:r w:rsidRPr="006D4AB3">
        <w:rPr>
          <w:rStyle w:val="EndnoteReference"/>
          <w:rFonts w:ascii="Calibri" w:hAnsi="Calibri"/>
        </w:rPr>
        <w:endnoteReference w:id="36"/>
      </w:r>
      <w:r w:rsidRPr="006D4AB3">
        <w:rPr>
          <w:rFonts w:ascii="Calibri" w:hAnsi="Calibri"/>
        </w:rPr>
        <w:t xml:space="preserve"> </w:t>
      </w:r>
    </w:p>
    <w:p w14:paraId="48C1BF8F" w14:textId="1F38FD60" w:rsidR="00506EFF" w:rsidRPr="006D4AB3" w:rsidRDefault="00506EFF" w:rsidP="00532295">
      <w:pPr>
        <w:ind w:left="720"/>
        <w:rPr>
          <w:rFonts w:ascii="Calibri" w:hAnsi="Calibri"/>
        </w:rPr>
      </w:pPr>
      <w:r w:rsidRPr="006D4AB3">
        <w:rPr>
          <w:rFonts w:ascii="Calibri" w:hAnsi="Calibri"/>
        </w:rPr>
        <w:t xml:space="preserve">The reformed </w:t>
      </w:r>
      <w:r w:rsidR="004E0F75" w:rsidRPr="006D4AB3">
        <w:rPr>
          <w:rFonts w:ascii="Calibri" w:hAnsi="Calibri"/>
        </w:rPr>
        <w:t xml:space="preserve">mandatory </w:t>
      </w:r>
      <w:r w:rsidRPr="006D4AB3">
        <w:rPr>
          <w:rFonts w:ascii="Calibri" w:hAnsi="Calibri"/>
        </w:rPr>
        <w:t xml:space="preserve">approach towards assessments has been heavily criticised by both applicants and workers as unfair and not fit for purpose. The largely computerised assessments are undertaken by private agencies staffing healthcare professionals, </w:t>
      </w:r>
      <w:r w:rsidR="004E0F75" w:rsidRPr="006D4AB3">
        <w:rPr>
          <w:rFonts w:ascii="Calibri" w:hAnsi="Calibri"/>
        </w:rPr>
        <w:t>mostly</w:t>
      </w:r>
      <w:r w:rsidRPr="006D4AB3">
        <w:rPr>
          <w:rFonts w:ascii="Calibri" w:hAnsi="Calibri"/>
        </w:rPr>
        <w:t xml:space="preserve"> physiotherapists, and focus on a person’s ability to undertake physical tasks. </w:t>
      </w:r>
      <w:r w:rsidR="004E0F75" w:rsidRPr="006D4AB3">
        <w:rPr>
          <w:rFonts w:ascii="Calibri" w:hAnsi="Calibri"/>
        </w:rPr>
        <w:t xml:space="preserve">There is a </w:t>
      </w:r>
      <w:r w:rsidRPr="006D4AB3">
        <w:rPr>
          <w:rFonts w:ascii="Calibri" w:hAnsi="Calibri"/>
        </w:rPr>
        <w:t>lack of consideration to and appropriate training for assessing the barriers that pain, fatigue and mental health present.</w:t>
      </w:r>
      <w:r w:rsidRPr="006D4AB3">
        <w:rPr>
          <w:rStyle w:val="EndnoteReference"/>
          <w:rFonts w:ascii="Calibri" w:hAnsi="Calibri"/>
        </w:rPr>
        <w:endnoteReference w:id="37"/>
      </w:r>
      <w:r w:rsidRPr="006D4AB3">
        <w:rPr>
          <w:rFonts w:ascii="Calibri" w:hAnsi="Calibri"/>
        </w:rPr>
        <w:t xml:space="preserve"> Assessor reports to</w:t>
      </w:r>
      <w:r w:rsidR="008C58EA" w:rsidRPr="006D4AB3">
        <w:rPr>
          <w:rFonts w:ascii="Calibri" w:hAnsi="Calibri"/>
        </w:rPr>
        <w:t xml:space="preserve"> the </w:t>
      </w:r>
      <w:r w:rsidRPr="006D4AB3">
        <w:rPr>
          <w:rFonts w:ascii="Calibri" w:hAnsi="Calibri"/>
        </w:rPr>
        <w:t xml:space="preserve">DWP have been routinely criticised for inaccuracies and falsification, </w:t>
      </w:r>
      <w:r w:rsidRPr="006D4AB3">
        <w:rPr>
          <w:rFonts w:ascii="Calibri" w:hAnsi="Calibri"/>
          <w:b/>
        </w:rPr>
        <w:t>with up to 56% of reports written not meeting contractual standards</w:t>
      </w:r>
      <w:r w:rsidRPr="006D4AB3">
        <w:rPr>
          <w:rFonts w:ascii="Calibri" w:hAnsi="Calibri"/>
        </w:rPr>
        <w:t>.</w:t>
      </w:r>
      <w:r w:rsidRPr="006D4AB3">
        <w:rPr>
          <w:rStyle w:val="EndnoteReference"/>
          <w:rFonts w:ascii="Calibri" w:hAnsi="Calibri"/>
        </w:rPr>
        <w:endnoteReference w:id="38"/>
      </w:r>
      <w:r w:rsidRPr="006D4AB3">
        <w:rPr>
          <w:rFonts w:ascii="Calibri" w:hAnsi="Calibri"/>
        </w:rPr>
        <w:t xml:space="preserve"> </w:t>
      </w:r>
    </w:p>
    <w:p w14:paraId="4BDE9A3B" w14:textId="18719DDC" w:rsidR="00506EFF" w:rsidRPr="006D4AB3" w:rsidRDefault="006D4AB3" w:rsidP="0011594F">
      <w:pPr>
        <w:ind w:left="720"/>
        <w:rPr>
          <w:rFonts w:ascii="Calibri" w:hAnsi="Calibri"/>
        </w:rPr>
      </w:pPr>
      <w:r w:rsidRPr="006D4AB3">
        <w:rPr>
          <w:rFonts w:ascii="Calibri" w:hAnsi="Calibri"/>
          <w:noProof/>
          <w:color w:val="FF0000"/>
          <w:lang w:val="en-US"/>
        </w:rPr>
        <w:lastRenderedPageBreak/>
        <mc:AlternateContent>
          <mc:Choice Requires="wps">
            <w:drawing>
              <wp:anchor distT="0" distB="0" distL="114300" distR="114300" simplePos="0" relativeHeight="251680768" behindDoc="0" locked="0" layoutInCell="1" allowOverlap="1" wp14:anchorId="4251D352" wp14:editId="5EE3A68F">
                <wp:simplePos x="0" y="0"/>
                <wp:positionH relativeFrom="leftMargin">
                  <wp:posOffset>540385</wp:posOffset>
                </wp:positionH>
                <wp:positionV relativeFrom="paragraph">
                  <wp:posOffset>0</wp:posOffset>
                </wp:positionV>
                <wp:extent cx="0" cy="8686800"/>
                <wp:effectExtent l="0" t="0" r="25400" b="0"/>
                <wp:wrapNone/>
                <wp:docPr id="14" name="Straight Connector 14"/>
                <wp:cNvGraphicFramePr/>
                <a:graphic xmlns:a="http://schemas.openxmlformats.org/drawingml/2006/main">
                  <a:graphicData uri="http://schemas.microsoft.com/office/word/2010/wordprocessingShape">
                    <wps:wsp>
                      <wps:cNvCnPr/>
                      <wps:spPr>
                        <a:xfrm>
                          <a:off x="0" y="0"/>
                          <a:ext cx="0" cy="8686800"/>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5FE210"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5pt,0" to="42.5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" strokecolor="red" strokeweight="2pt">
                <v:stroke dashstyle="dash" joinstyle="miter"/>
                <w10:wrap anchorx="margin"/>
              </v:line>
            </w:pict>
          </mc:Fallback>
        </mc:AlternateContent>
      </w:r>
      <w:r w:rsidR="00506EFF" w:rsidRPr="006D4AB3">
        <w:rPr>
          <w:rFonts w:ascii="Calibri" w:hAnsi="Calibri"/>
        </w:rPr>
        <w:t>The assessment process has also received criticism for the geographical and physical inaccessibility of assessment centres and the treatment of people by some assessors.</w:t>
      </w:r>
      <w:r w:rsidR="00506EFF" w:rsidRPr="006D4AB3">
        <w:rPr>
          <w:rStyle w:val="EndnoteReference"/>
          <w:rFonts w:ascii="Calibri" w:hAnsi="Calibri"/>
        </w:rPr>
        <w:endnoteReference w:id="39"/>
      </w:r>
      <w:r w:rsidR="00506EFF" w:rsidRPr="006D4AB3">
        <w:rPr>
          <w:rFonts w:ascii="Calibri" w:hAnsi="Calibri"/>
        </w:rPr>
        <w:t xml:space="preserve"> Notable improvements have been made in relation to the time taken for a decision; in </w:t>
      </w:r>
      <w:r w:rsidR="00506EFF" w:rsidRPr="006D4AB3">
        <w:rPr>
          <w:rFonts w:ascii="Calibri" w:hAnsi="Calibri"/>
          <w:b/>
        </w:rPr>
        <w:t>mid-2014 on average a person had to wait 42 weeks, with some 3,000 people waiting over a year</w:t>
      </w:r>
      <w:r w:rsidR="00506EFF" w:rsidRPr="006D4AB3">
        <w:rPr>
          <w:rFonts w:ascii="Calibri" w:hAnsi="Calibri"/>
        </w:rPr>
        <w:t xml:space="preserve"> – leaving many disabled people without financial support over that time.</w:t>
      </w:r>
      <w:r w:rsidR="00506EFF" w:rsidRPr="006D4AB3">
        <w:rPr>
          <w:rStyle w:val="EndnoteReference"/>
          <w:rFonts w:ascii="Calibri" w:hAnsi="Calibri"/>
        </w:rPr>
        <w:endnoteReference w:id="40"/>
      </w:r>
      <w:r w:rsidR="00506EFF" w:rsidRPr="006D4AB3">
        <w:rPr>
          <w:rFonts w:ascii="Calibri" w:hAnsi="Calibri"/>
        </w:rPr>
        <w:t xml:space="preserve"> These delays have now dropped to a </w:t>
      </w:r>
      <w:r w:rsidR="0086200C" w:rsidRPr="006D4AB3">
        <w:rPr>
          <w:rFonts w:ascii="Calibri" w:hAnsi="Calibri"/>
        </w:rPr>
        <w:t>13-week</w:t>
      </w:r>
      <w:r w:rsidR="00506EFF" w:rsidRPr="006D4AB3">
        <w:rPr>
          <w:rFonts w:ascii="Calibri" w:hAnsi="Calibri"/>
        </w:rPr>
        <w:t xml:space="preserve"> average after the High Court declared them unlawful.</w:t>
      </w:r>
      <w:r w:rsidR="00506EFF" w:rsidRPr="006D4AB3">
        <w:rPr>
          <w:rStyle w:val="EndnoteReference"/>
          <w:rFonts w:ascii="Calibri" w:hAnsi="Calibri"/>
        </w:rPr>
        <w:endnoteReference w:id="41"/>
      </w:r>
      <w:r w:rsidR="00506EFF" w:rsidRPr="006D4AB3">
        <w:rPr>
          <w:rFonts w:ascii="Calibri" w:hAnsi="Calibri"/>
        </w:rPr>
        <w:t xml:space="preserve"> The Department makes the final determination and on average awards PIP to 30% of applicants, though on appeal </w:t>
      </w:r>
      <w:r w:rsidR="00506EFF" w:rsidRPr="006D4AB3">
        <w:rPr>
          <w:rFonts w:ascii="Calibri" w:hAnsi="Calibri"/>
          <w:b/>
        </w:rPr>
        <w:t>60% of decisions are successfully overturned</w:t>
      </w:r>
      <w:r w:rsidR="00506EFF" w:rsidRPr="006D4AB3">
        <w:rPr>
          <w:rFonts w:ascii="Calibri" w:hAnsi="Calibri"/>
        </w:rPr>
        <w:t>.</w:t>
      </w:r>
      <w:r w:rsidR="00506EFF" w:rsidRPr="006D4AB3">
        <w:rPr>
          <w:rStyle w:val="EndnoteReference"/>
          <w:rFonts w:ascii="Calibri" w:hAnsi="Calibri"/>
        </w:rPr>
        <w:endnoteReference w:id="42"/>
      </w:r>
    </w:p>
    <w:p w14:paraId="2A9124BC" w14:textId="43AD68CE" w:rsidR="00506EFF" w:rsidRPr="006D4AB3" w:rsidRDefault="00506EFF" w:rsidP="00345A0B">
      <w:pPr>
        <w:ind w:left="720"/>
        <w:rPr>
          <w:rFonts w:ascii="Calibri" w:hAnsi="Calibri"/>
          <w:u w:val="single"/>
        </w:rPr>
      </w:pPr>
      <w:r w:rsidRPr="006D4AB3">
        <w:rPr>
          <w:rFonts w:ascii="Calibri" w:hAnsi="Calibri"/>
        </w:rPr>
        <w:t xml:space="preserve">Further reforms to PIP were announced in the 2016 Spring Budget that would have </w:t>
      </w:r>
      <w:r w:rsidR="00626E91" w:rsidRPr="006D4AB3">
        <w:rPr>
          <w:rFonts w:ascii="Calibri" w:hAnsi="Calibri"/>
        </w:rPr>
        <w:t>cut</w:t>
      </w:r>
      <w:r w:rsidRPr="006D4AB3">
        <w:rPr>
          <w:rFonts w:ascii="Calibri" w:hAnsi="Calibri"/>
        </w:rPr>
        <w:t xml:space="preserve"> £4bn of payments by 2020</w:t>
      </w:r>
      <w:r w:rsidR="00626E91" w:rsidRPr="006D4AB3">
        <w:rPr>
          <w:rFonts w:ascii="Calibri" w:hAnsi="Calibri"/>
        </w:rPr>
        <w:t>,</w:t>
      </w:r>
      <w:r w:rsidRPr="006D4AB3">
        <w:rPr>
          <w:rFonts w:ascii="Calibri" w:hAnsi="Calibri"/>
        </w:rPr>
        <w:t xml:space="preserve"> but were dropped amidst</w:t>
      </w:r>
      <w:r w:rsidR="00626E91" w:rsidRPr="006D4AB3">
        <w:rPr>
          <w:rFonts w:ascii="Calibri" w:hAnsi="Calibri"/>
        </w:rPr>
        <w:t xml:space="preserve"> opposition and</w:t>
      </w:r>
      <w:r w:rsidRPr="006D4AB3">
        <w:rPr>
          <w:rFonts w:ascii="Calibri" w:hAnsi="Calibri"/>
        </w:rPr>
        <w:t xml:space="preserve"> the resignation of the responsible Cabinet Minister.</w:t>
      </w:r>
      <w:r w:rsidRPr="006D4AB3">
        <w:rPr>
          <w:rStyle w:val="EndnoteReference"/>
          <w:rFonts w:ascii="Calibri" w:hAnsi="Calibri"/>
        </w:rPr>
        <w:endnoteReference w:id="43"/>
      </w:r>
      <w:r w:rsidRPr="006D4AB3">
        <w:rPr>
          <w:rFonts w:ascii="Calibri" w:hAnsi="Calibri"/>
        </w:rPr>
        <w:t xml:space="preserve"> </w:t>
      </w:r>
      <w:r w:rsidR="00626E91" w:rsidRPr="006D4AB3">
        <w:rPr>
          <w:rFonts w:ascii="Calibri" w:hAnsi="Calibri"/>
        </w:rPr>
        <w:t>Despite the severity of the</w:t>
      </w:r>
      <w:r w:rsidRPr="006D4AB3">
        <w:rPr>
          <w:rFonts w:ascii="Calibri" w:hAnsi="Calibri"/>
        </w:rPr>
        <w:t xml:space="preserve"> </w:t>
      </w:r>
      <w:r w:rsidR="00626E91" w:rsidRPr="006D4AB3">
        <w:rPr>
          <w:rFonts w:ascii="Calibri" w:hAnsi="Calibri"/>
        </w:rPr>
        <w:t>reforms</w:t>
      </w:r>
      <w:r w:rsidRPr="006D4AB3">
        <w:rPr>
          <w:rFonts w:ascii="Calibri" w:hAnsi="Calibri"/>
        </w:rPr>
        <w:t xml:space="preserve">, the amount of money spent on disability benefits has actually increased; </w:t>
      </w:r>
      <w:r w:rsidRPr="006D4AB3">
        <w:rPr>
          <w:rFonts w:ascii="Calibri" w:hAnsi="Calibri"/>
          <w:b/>
        </w:rPr>
        <w:t>more money is spent on PIP assessments and appeals than has been saved by the reforms,</w:t>
      </w:r>
      <w:r w:rsidRPr="006D4AB3">
        <w:rPr>
          <w:rFonts w:ascii="Calibri" w:hAnsi="Calibri"/>
        </w:rPr>
        <w:t xml:space="preserve"> strengthening the suggestion that the reforms have been ideologically driven.</w:t>
      </w:r>
      <w:r w:rsidRPr="006D4AB3">
        <w:rPr>
          <w:rStyle w:val="EndnoteReference"/>
          <w:rFonts w:ascii="Calibri" w:hAnsi="Calibri"/>
        </w:rPr>
        <w:endnoteReference w:id="44"/>
      </w:r>
      <w:r w:rsidRPr="006D4AB3">
        <w:rPr>
          <w:rFonts w:ascii="Calibri" w:hAnsi="Calibri"/>
        </w:rPr>
        <w:t xml:space="preserve"> </w:t>
      </w:r>
      <w:r w:rsidRPr="00877FE4">
        <w:rPr>
          <w:rFonts w:ascii="Calibri" w:hAnsi="Calibri"/>
          <w:color w:val="3366FF"/>
        </w:rPr>
        <w:t>The phasing out of DLA in Scotland and delivering PIP has been devolved to the Scottish Government who have been critical of the UK Government reforms to eligibility and assessment, though plans for how the benefit will operate in Scotland have not yet been confirmed.</w:t>
      </w:r>
      <w:r w:rsidRPr="00877FE4">
        <w:rPr>
          <w:rStyle w:val="EndnoteReference"/>
          <w:rFonts w:ascii="Calibri" w:hAnsi="Calibri"/>
          <w:color w:val="3366FF"/>
        </w:rPr>
        <w:endnoteReference w:id="45"/>
      </w:r>
      <w:r w:rsidRPr="00877FE4">
        <w:rPr>
          <w:rFonts w:ascii="Calibri" w:hAnsi="Calibri"/>
          <w:color w:val="3366FF"/>
        </w:rPr>
        <w:t xml:space="preserve"> The Scottish Government </w:t>
      </w:r>
      <w:proofErr w:type="gramStart"/>
      <w:r w:rsidRPr="00877FE4">
        <w:rPr>
          <w:rFonts w:ascii="Calibri" w:hAnsi="Calibri"/>
          <w:color w:val="3366FF"/>
        </w:rPr>
        <w:t>have</w:t>
      </w:r>
      <w:proofErr w:type="gramEnd"/>
      <w:r w:rsidRPr="00877FE4">
        <w:rPr>
          <w:rFonts w:ascii="Calibri" w:hAnsi="Calibri"/>
          <w:color w:val="3366FF"/>
        </w:rPr>
        <w:t xml:space="preserve"> also committed a small amount of funding for advocacy agencies to support people applying for PIP.</w:t>
      </w:r>
      <w:r w:rsidRPr="00877FE4">
        <w:rPr>
          <w:rStyle w:val="EndnoteReference"/>
          <w:rFonts w:ascii="Calibri" w:hAnsi="Calibri"/>
          <w:color w:val="3366FF"/>
        </w:rPr>
        <w:endnoteReference w:id="46"/>
      </w:r>
      <w:r w:rsidR="00345A0B">
        <w:rPr>
          <w:rFonts w:ascii="Calibri" w:hAnsi="Calibri"/>
          <w:color w:val="3366FF"/>
        </w:rPr>
        <w:br/>
      </w:r>
      <w:r w:rsidR="00345A0B">
        <w:rPr>
          <w:rFonts w:ascii="Calibri" w:hAnsi="Calibri"/>
          <w:color w:val="3366FF"/>
        </w:rPr>
        <w:br/>
      </w:r>
      <w:r w:rsidR="004E0F75" w:rsidRPr="006D4AB3">
        <w:rPr>
          <w:rFonts w:ascii="Calibri" w:hAnsi="Calibri"/>
          <w:u w:val="single"/>
        </w:rPr>
        <w:t>U</w:t>
      </w:r>
      <w:r w:rsidR="003654D8" w:rsidRPr="006D4AB3">
        <w:rPr>
          <w:rFonts w:ascii="Calibri" w:hAnsi="Calibri"/>
          <w:u w:val="single"/>
        </w:rPr>
        <w:t>niversal Credit – an overview of the new frame</w:t>
      </w:r>
      <w:r w:rsidRPr="006D4AB3">
        <w:rPr>
          <w:rFonts w:ascii="Calibri" w:hAnsi="Calibri"/>
          <w:u w:val="single"/>
        </w:rPr>
        <w:t>work</w:t>
      </w:r>
    </w:p>
    <w:p w14:paraId="1D3B1724" w14:textId="5DE1A3B6" w:rsidR="00506EFF" w:rsidRPr="006D4AB3" w:rsidRDefault="00506EFF" w:rsidP="0065383A">
      <w:pPr>
        <w:ind w:left="720"/>
        <w:rPr>
          <w:rFonts w:ascii="Calibri" w:hAnsi="Calibri"/>
        </w:rPr>
      </w:pPr>
      <w:r w:rsidRPr="006D4AB3">
        <w:rPr>
          <w:rFonts w:ascii="Calibri" w:hAnsi="Calibri"/>
        </w:rPr>
        <w:t xml:space="preserve">Universal Credit has been the Government’s long-term plan for completely restructuring means-tested social security payments – merging the payment of some in-work and unemployment benefits in to one monthly payment. </w:t>
      </w:r>
      <w:proofErr w:type="gramStart"/>
      <w:r w:rsidRPr="006D4AB3">
        <w:rPr>
          <w:rFonts w:ascii="Calibri" w:hAnsi="Calibri"/>
        </w:rPr>
        <w:t xml:space="preserve">The payment incudes </w:t>
      </w:r>
      <w:r w:rsidRPr="006D4AB3">
        <w:rPr>
          <w:rFonts w:ascii="Calibri" w:hAnsi="Calibri"/>
          <w:i/>
        </w:rPr>
        <w:t>JSA, ESA, Working Tax Credit, Child Tax Credit</w:t>
      </w:r>
      <w:r w:rsidRPr="006D4AB3">
        <w:rPr>
          <w:rFonts w:ascii="Calibri" w:hAnsi="Calibri"/>
        </w:rPr>
        <w:t xml:space="preserve">, and </w:t>
      </w:r>
      <w:r w:rsidRPr="006D4AB3">
        <w:rPr>
          <w:rFonts w:ascii="Calibri" w:hAnsi="Calibri"/>
          <w:i/>
        </w:rPr>
        <w:t>Housing Benefit</w:t>
      </w:r>
      <w:r w:rsidR="004E0F75" w:rsidRPr="006D4AB3">
        <w:rPr>
          <w:rFonts w:ascii="Calibri" w:hAnsi="Calibri"/>
          <w:i/>
        </w:rPr>
        <w:t>.</w:t>
      </w:r>
      <w:proofErr w:type="gramEnd"/>
      <w:r w:rsidRPr="006D4AB3">
        <w:rPr>
          <w:rFonts w:ascii="Calibri" w:hAnsi="Calibri"/>
        </w:rPr>
        <w:t xml:space="preserve"> The project has been costly, significantly delayed, and has both acted as a disincentive to work and resulted in debt and destitution</w:t>
      </w:r>
      <w:r w:rsidR="00E901FF">
        <w:rPr>
          <w:rFonts w:ascii="Calibri" w:hAnsi="Calibri"/>
        </w:rPr>
        <w:t xml:space="preserve"> where it has been i</w:t>
      </w:r>
      <w:r w:rsidR="004E0F75" w:rsidRPr="006D4AB3">
        <w:rPr>
          <w:rFonts w:ascii="Calibri" w:hAnsi="Calibri"/>
        </w:rPr>
        <w:t>ntroduced</w:t>
      </w:r>
      <w:r w:rsidRPr="006D4AB3">
        <w:rPr>
          <w:rFonts w:ascii="Calibri" w:hAnsi="Calibri"/>
        </w:rPr>
        <w:t xml:space="preserve">. </w:t>
      </w:r>
    </w:p>
    <w:p w14:paraId="7EF3878E" w14:textId="77777777" w:rsidR="00506EFF" w:rsidRPr="006D4AB3" w:rsidRDefault="00506EFF" w:rsidP="0065383A">
      <w:pPr>
        <w:ind w:left="720"/>
        <w:rPr>
          <w:rFonts w:ascii="Calibri" w:hAnsi="Calibri"/>
        </w:rPr>
      </w:pPr>
      <w:r w:rsidRPr="006D4AB3">
        <w:rPr>
          <w:rFonts w:ascii="Calibri" w:hAnsi="Calibri"/>
        </w:rPr>
        <w:t xml:space="preserve">Some of the main problems include, </w:t>
      </w:r>
    </w:p>
    <w:p w14:paraId="5FA45DBA" w14:textId="77777777" w:rsidR="00626E91" w:rsidRPr="006D4AB3" w:rsidRDefault="00506EFF" w:rsidP="00626E91">
      <w:pPr>
        <w:pStyle w:val="ListParagraph"/>
        <w:numPr>
          <w:ilvl w:val="0"/>
          <w:numId w:val="20"/>
        </w:numPr>
        <w:spacing w:after="80"/>
        <w:ind w:left="1077" w:hanging="357"/>
        <w:contextualSpacing w:val="0"/>
        <w:rPr>
          <w:rFonts w:ascii="Calibri" w:hAnsi="Calibri"/>
        </w:rPr>
      </w:pPr>
      <w:r w:rsidRPr="006D4AB3">
        <w:rPr>
          <w:rFonts w:ascii="Calibri" w:hAnsi="Calibri"/>
        </w:rPr>
        <w:t xml:space="preserve">Lengthy processing time and the payment of Universal Credit </w:t>
      </w:r>
      <w:r w:rsidRPr="006D4AB3">
        <w:rPr>
          <w:rFonts w:ascii="Calibri" w:hAnsi="Calibri"/>
          <w:b/>
        </w:rPr>
        <w:t xml:space="preserve">a month in </w:t>
      </w:r>
      <w:r w:rsidR="00626E91" w:rsidRPr="006D4AB3">
        <w:rPr>
          <w:rFonts w:ascii="Calibri" w:hAnsi="Calibri"/>
          <w:b/>
        </w:rPr>
        <w:t>a</w:t>
      </w:r>
      <w:r w:rsidRPr="006D4AB3">
        <w:rPr>
          <w:rFonts w:ascii="Calibri" w:hAnsi="Calibri"/>
          <w:b/>
        </w:rPr>
        <w:t>rrears</w:t>
      </w:r>
      <w:r w:rsidRPr="006D4AB3">
        <w:rPr>
          <w:rFonts w:ascii="Calibri" w:hAnsi="Calibri"/>
        </w:rPr>
        <w:t xml:space="preserve"> has left people without any income, increasing vulnerability to high interest debt.</w:t>
      </w:r>
      <w:r w:rsidRPr="006D4AB3">
        <w:rPr>
          <w:rStyle w:val="EndnoteReference"/>
          <w:rFonts w:ascii="Calibri" w:hAnsi="Calibri"/>
        </w:rPr>
        <w:endnoteReference w:id="47"/>
      </w:r>
    </w:p>
    <w:p w14:paraId="3FAC8E40" w14:textId="77777777" w:rsidR="00626E91" w:rsidRPr="006D4AB3" w:rsidRDefault="00506EFF" w:rsidP="00626E91">
      <w:pPr>
        <w:pStyle w:val="ListParagraph"/>
        <w:numPr>
          <w:ilvl w:val="0"/>
          <w:numId w:val="20"/>
        </w:numPr>
        <w:spacing w:after="80"/>
        <w:ind w:left="1077" w:hanging="357"/>
        <w:contextualSpacing w:val="0"/>
        <w:rPr>
          <w:rFonts w:ascii="Calibri" w:hAnsi="Calibri"/>
        </w:rPr>
      </w:pPr>
      <w:r w:rsidRPr="006D4AB3">
        <w:rPr>
          <w:rFonts w:ascii="Calibri" w:hAnsi="Calibri"/>
        </w:rPr>
        <w:t>Monthly payments are not preferred by the majority of people in receipt – the risk of running out of money for longer periods of time being a major concern.</w:t>
      </w:r>
      <w:r w:rsidRPr="006D4AB3">
        <w:rPr>
          <w:rStyle w:val="EndnoteReference"/>
          <w:rFonts w:ascii="Calibri" w:hAnsi="Calibri"/>
        </w:rPr>
        <w:endnoteReference w:id="48"/>
      </w:r>
    </w:p>
    <w:p w14:paraId="59D9F362" w14:textId="77777777" w:rsidR="00626E91" w:rsidRPr="006D4AB3" w:rsidRDefault="00506EFF" w:rsidP="00626E91">
      <w:pPr>
        <w:pStyle w:val="ListParagraph"/>
        <w:numPr>
          <w:ilvl w:val="0"/>
          <w:numId w:val="20"/>
        </w:numPr>
        <w:spacing w:after="80"/>
        <w:ind w:left="1077" w:hanging="357"/>
        <w:contextualSpacing w:val="0"/>
        <w:rPr>
          <w:rFonts w:ascii="Calibri" w:hAnsi="Calibri"/>
        </w:rPr>
      </w:pPr>
      <w:r w:rsidRPr="006D4AB3">
        <w:rPr>
          <w:rFonts w:ascii="Calibri" w:hAnsi="Calibri"/>
        </w:rPr>
        <w:t xml:space="preserve">Removing the direct payment of housing benefit to landlords has in some pilot areas resulted in </w:t>
      </w:r>
      <w:r w:rsidRPr="006D4AB3">
        <w:rPr>
          <w:rFonts w:ascii="Calibri" w:hAnsi="Calibri"/>
          <w:b/>
        </w:rPr>
        <w:t>89% of people in rent arrears</w:t>
      </w:r>
      <w:r w:rsidRPr="006D4AB3">
        <w:rPr>
          <w:rFonts w:ascii="Calibri" w:hAnsi="Calibri"/>
        </w:rPr>
        <w:t>.</w:t>
      </w:r>
      <w:r w:rsidRPr="006D4AB3">
        <w:rPr>
          <w:rStyle w:val="EndnoteReference"/>
          <w:rFonts w:ascii="Calibri" w:hAnsi="Calibri"/>
        </w:rPr>
        <w:endnoteReference w:id="49"/>
      </w:r>
    </w:p>
    <w:p w14:paraId="195AD10B" w14:textId="739EA94C" w:rsidR="00626E91" w:rsidRPr="006D4AB3" w:rsidRDefault="00506EFF" w:rsidP="00626E91">
      <w:pPr>
        <w:pStyle w:val="ListParagraph"/>
        <w:numPr>
          <w:ilvl w:val="0"/>
          <w:numId w:val="20"/>
        </w:numPr>
        <w:spacing w:after="80"/>
        <w:ind w:left="1077" w:hanging="357"/>
        <w:contextualSpacing w:val="0"/>
        <w:rPr>
          <w:rFonts w:ascii="Calibri" w:hAnsi="Calibri"/>
        </w:rPr>
      </w:pPr>
      <w:r w:rsidRPr="006D4AB3">
        <w:rPr>
          <w:rFonts w:ascii="Calibri" w:hAnsi="Calibri"/>
        </w:rPr>
        <w:t xml:space="preserve">Introducing conditionality to in-work benefits risks forcing people who work part-time, notably </w:t>
      </w:r>
      <w:r w:rsidR="00513CF1">
        <w:rPr>
          <w:rFonts w:ascii="Calibri" w:hAnsi="Calibri"/>
        </w:rPr>
        <w:t>lone-parents who are</w:t>
      </w:r>
      <w:r w:rsidRPr="006D4AB3">
        <w:rPr>
          <w:rFonts w:ascii="Calibri" w:hAnsi="Calibri"/>
        </w:rPr>
        <w:t xml:space="preserve"> mostly women, to find full time work or face sanctions. For many the </w:t>
      </w:r>
      <w:r w:rsidR="00513CF1" w:rsidRPr="006D4AB3">
        <w:rPr>
          <w:rFonts w:ascii="Calibri" w:hAnsi="Calibri"/>
        </w:rPr>
        <w:t>childcare</w:t>
      </w:r>
      <w:r w:rsidRPr="006D4AB3">
        <w:rPr>
          <w:rFonts w:ascii="Calibri" w:hAnsi="Calibri"/>
        </w:rPr>
        <w:t xml:space="preserve"> costs outweigh the income from working additional hours.</w:t>
      </w:r>
      <w:r w:rsidRPr="006D4AB3">
        <w:rPr>
          <w:rStyle w:val="EndnoteReference"/>
          <w:rFonts w:ascii="Calibri" w:hAnsi="Calibri"/>
        </w:rPr>
        <w:endnoteReference w:id="50"/>
      </w:r>
    </w:p>
    <w:p w14:paraId="4C124FB0" w14:textId="60304B3B" w:rsidR="00506EFF" w:rsidRPr="006D4AB3" w:rsidRDefault="00506EFF" w:rsidP="00626E91">
      <w:pPr>
        <w:pStyle w:val="ListParagraph"/>
        <w:numPr>
          <w:ilvl w:val="0"/>
          <w:numId w:val="20"/>
        </w:numPr>
        <w:ind w:left="1077" w:hanging="357"/>
        <w:contextualSpacing w:val="0"/>
        <w:rPr>
          <w:rFonts w:ascii="Calibri" w:hAnsi="Calibri"/>
        </w:rPr>
      </w:pPr>
      <w:r w:rsidRPr="006D4AB3">
        <w:rPr>
          <w:rFonts w:ascii="Calibri" w:hAnsi="Calibri"/>
        </w:rPr>
        <w:t xml:space="preserve">In the context of vast social security cuts already implemented, Universal Credit will further </w:t>
      </w:r>
      <w:r w:rsidRPr="006D4AB3">
        <w:rPr>
          <w:rFonts w:ascii="Calibri" w:hAnsi="Calibri"/>
          <w:b/>
        </w:rPr>
        <w:t>reduce the income of 2.4</w:t>
      </w:r>
      <w:r w:rsidR="00E901FF">
        <w:rPr>
          <w:rFonts w:ascii="Calibri" w:hAnsi="Calibri"/>
          <w:b/>
        </w:rPr>
        <w:t xml:space="preserve"> million </w:t>
      </w:r>
      <w:r w:rsidRPr="006D4AB3">
        <w:rPr>
          <w:rFonts w:ascii="Calibri" w:hAnsi="Calibri"/>
          <w:b/>
        </w:rPr>
        <w:t>people.</w:t>
      </w:r>
      <w:r w:rsidRPr="006D4AB3">
        <w:rPr>
          <w:rFonts w:ascii="Calibri" w:hAnsi="Calibri"/>
        </w:rPr>
        <w:t xml:space="preserve"> Another 2.5</w:t>
      </w:r>
      <w:r w:rsidR="00E901FF">
        <w:rPr>
          <w:rFonts w:ascii="Calibri" w:hAnsi="Calibri"/>
        </w:rPr>
        <w:t xml:space="preserve"> million</w:t>
      </w:r>
      <w:r w:rsidRPr="006D4AB3">
        <w:rPr>
          <w:rFonts w:ascii="Calibri" w:hAnsi="Calibri"/>
        </w:rPr>
        <w:t xml:space="preserve"> people will see no financial difference, and there are 2.5</w:t>
      </w:r>
      <w:r w:rsidR="00E901FF">
        <w:rPr>
          <w:rFonts w:ascii="Calibri" w:hAnsi="Calibri"/>
        </w:rPr>
        <w:t xml:space="preserve"> million</w:t>
      </w:r>
      <w:r w:rsidRPr="006D4AB3">
        <w:rPr>
          <w:rFonts w:ascii="Calibri" w:hAnsi="Calibri"/>
        </w:rPr>
        <w:t xml:space="preserve"> people whose incomes will marginally increase – though on average will still have less than before the Welfare Reform Act and </w:t>
      </w:r>
      <w:r w:rsidR="00626E91" w:rsidRPr="006D4AB3">
        <w:rPr>
          <w:rFonts w:ascii="Calibri" w:hAnsi="Calibri"/>
        </w:rPr>
        <w:t>far below</w:t>
      </w:r>
      <w:r w:rsidRPr="006D4AB3">
        <w:rPr>
          <w:rFonts w:ascii="Calibri" w:hAnsi="Calibri"/>
        </w:rPr>
        <w:t xml:space="preserve"> the Minimum Income Standard.</w:t>
      </w:r>
      <w:r w:rsidRPr="006D4AB3">
        <w:rPr>
          <w:rStyle w:val="EndnoteReference"/>
          <w:rFonts w:ascii="Calibri" w:hAnsi="Calibri"/>
        </w:rPr>
        <w:endnoteReference w:id="51"/>
      </w:r>
    </w:p>
    <w:p w14:paraId="7587F1B8" w14:textId="77777777" w:rsidR="003D3BD7" w:rsidRPr="006D4AB3" w:rsidRDefault="004E0F75" w:rsidP="003D3BD7">
      <w:pPr>
        <w:ind w:left="720"/>
        <w:rPr>
          <w:rFonts w:ascii="Calibri" w:hAnsi="Calibri"/>
        </w:rPr>
      </w:pPr>
      <w:r w:rsidRPr="006D4AB3">
        <w:rPr>
          <w:rFonts w:ascii="Calibri" w:hAnsi="Calibri"/>
        </w:rPr>
        <w:t>Universal Credit fails to tackle the structural causes of unemployment and underemployment; rather than making work pay it pushes people in to in-work poverty.</w:t>
      </w:r>
      <w:r w:rsidRPr="006D4AB3">
        <w:rPr>
          <w:rFonts w:ascii="Calibri" w:hAnsi="Calibri"/>
          <w:color w:val="4472C4" w:themeColor="accent5"/>
        </w:rPr>
        <w:t xml:space="preserve"> </w:t>
      </w:r>
      <w:r w:rsidRPr="006D4AB3">
        <w:rPr>
          <w:rFonts w:ascii="Calibri" w:hAnsi="Calibri"/>
        </w:rPr>
        <w:t>The whole-life cost of implementation has been estimated at nearly £16bn and has been delayed by several years.</w:t>
      </w:r>
      <w:r w:rsidRPr="006D4AB3">
        <w:rPr>
          <w:rStyle w:val="EndnoteReference"/>
          <w:rFonts w:ascii="Calibri" w:hAnsi="Calibri"/>
        </w:rPr>
        <w:endnoteReference w:id="52"/>
      </w:r>
      <w:r w:rsidRPr="006D4AB3">
        <w:rPr>
          <w:rFonts w:ascii="Calibri" w:hAnsi="Calibri"/>
        </w:rPr>
        <w:t xml:space="preserve"> </w:t>
      </w:r>
      <w:r w:rsidRPr="00877FE4">
        <w:rPr>
          <w:rFonts w:ascii="Calibri" w:hAnsi="Calibri"/>
          <w:color w:val="3366FF"/>
        </w:rPr>
        <w:t>Universal Credit will remain largely reserved, but with some flexibility to the Scottish Government on frequency of payments, and to vary housing benefit and pay it directly to landlords.</w:t>
      </w:r>
      <w:r w:rsidRPr="00877FE4">
        <w:rPr>
          <w:rStyle w:val="EndnoteReference"/>
          <w:rFonts w:ascii="Calibri" w:hAnsi="Calibri"/>
          <w:color w:val="3366FF"/>
        </w:rPr>
        <w:endnoteReference w:id="53"/>
      </w:r>
      <w:r w:rsidRPr="00877FE4">
        <w:rPr>
          <w:rFonts w:ascii="Calibri" w:hAnsi="Calibri"/>
          <w:color w:val="3366FF"/>
        </w:rPr>
        <w:t xml:space="preserve"> </w:t>
      </w:r>
    </w:p>
    <w:p w14:paraId="7B51176D" w14:textId="0C7C49D2" w:rsidR="003D3BD7" w:rsidRPr="006D4AB3" w:rsidRDefault="003D3BD7" w:rsidP="003D3BD7">
      <w:pPr>
        <w:ind w:left="720"/>
        <w:rPr>
          <w:rFonts w:ascii="Calibri" w:hAnsi="Calibri"/>
        </w:rPr>
      </w:pPr>
    </w:p>
    <w:p w14:paraId="386F7CB6" w14:textId="77777777" w:rsidR="00345A0B" w:rsidRDefault="00345A0B">
      <w:pPr>
        <w:rPr>
          <w:rFonts w:ascii="Calibri" w:hAnsi="Calibri"/>
          <w:b/>
        </w:rPr>
      </w:pPr>
      <w:r>
        <w:rPr>
          <w:rFonts w:ascii="Calibri" w:hAnsi="Calibri"/>
          <w:b/>
        </w:rPr>
        <w:br w:type="page"/>
      </w:r>
    </w:p>
    <w:p w14:paraId="70FCACE7" w14:textId="1B4D6C6B" w:rsidR="003D3BD7" w:rsidRPr="006D4AB3" w:rsidRDefault="00345A0B" w:rsidP="003D3BD7">
      <w:pPr>
        <w:ind w:left="720"/>
        <w:rPr>
          <w:rFonts w:ascii="Calibri" w:hAnsi="Calibri"/>
          <w:b/>
        </w:rPr>
      </w:pPr>
      <w:r w:rsidRPr="006D4AB3">
        <w:rPr>
          <w:rFonts w:ascii="Calibri" w:hAnsi="Calibri"/>
          <w:noProof/>
          <w:color w:val="FF0000"/>
          <w:lang w:val="en-US"/>
        </w:rPr>
        <w:lastRenderedPageBreak/>
        <mc:AlternateContent>
          <mc:Choice Requires="wps">
            <w:drawing>
              <wp:anchor distT="0" distB="0" distL="114300" distR="114300" simplePos="0" relativeHeight="251674624" behindDoc="0" locked="0" layoutInCell="1" allowOverlap="1" wp14:anchorId="176FC94D" wp14:editId="6B7FECBB">
                <wp:simplePos x="0" y="0"/>
                <wp:positionH relativeFrom="margin">
                  <wp:posOffset>0</wp:posOffset>
                </wp:positionH>
                <wp:positionV relativeFrom="paragraph">
                  <wp:posOffset>0</wp:posOffset>
                </wp:positionV>
                <wp:extent cx="0" cy="525780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0" cy="5257800"/>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70503C"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0,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" strokecolor="red" strokeweight="2pt">
                <v:stroke dashstyle="dash" joinstyle="miter"/>
                <w10:wrap anchorx="margin"/>
              </v:line>
            </w:pict>
          </mc:Fallback>
        </mc:AlternateContent>
      </w:r>
      <w:r w:rsidR="00033747" w:rsidRPr="006D4AB3">
        <w:rPr>
          <w:rFonts w:ascii="Calibri" w:hAnsi="Calibri"/>
          <w:b/>
        </w:rPr>
        <w:t>Are the UK progressively realising rights</w:t>
      </w:r>
      <w:r w:rsidR="00E901FF">
        <w:rPr>
          <w:rFonts w:ascii="Calibri" w:hAnsi="Calibri"/>
          <w:b/>
        </w:rPr>
        <w:t xml:space="preserve"> </w:t>
      </w:r>
      <w:r w:rsidR="00C73ACF" w:rsidRPr="006D4AB3">
        <w:rPr>
          <w:rFonts w:ascii="Calibri" w:hAnsi="Calibri"/>
          <w:b/>
        </w:rPr>
        <w:t xml:space="preserve">to the </w:t>
      </w:r>
      <w:r w:rsidR="003D3BD7" w:rsidRPr="006D4AB3">
        <w:rPr>
          <w:rFonts w:ascii="Calibri" w:hAnsi="Calibri"/>
          <w:b/>
        </w:rPr>
        <w:t>maximum of available resources</w:t>
      </w:r>
      <w:r w:rsidR="00C73ACF" w:rsidRPr="006D4AB3">
        <w:rPr>
          <w:rFonts w:ascii="Calibri" w:hAnsi="Calibri"/>
          <w:b/>
        </w:rPr>
        <w:t>?</w:t>
      </w:r>
      <w:r w:rsidR="000C315E" w:rsidRPr="006D4AB3">
        <w:rPr>
          <w:rFonts w:ascii="Calibri" w:hAnsi="Calibri"/>
          <w:i/>
        </w:rPr>
        <w:t xml:space="preserve"> – </w:t>
      </w:r>
      <w:proofErr w:type="gramStart"/>
      <w:r w:rsidR="000C315E" w:rsidRPr="006D4AB3">
        <w:rPr>
          <w:rFonts w:ascii="Calibri" w:hAnsi="Calibri"/>
          <w:i/>
        </w:rPr>
        <w:t>an</w:t>
      </w:r>
      <w:proofErr w:type="gramEnd"/>
      <w:r w:rsidR="000C315E" w:rsidRPr="006D4AB3">
        <w:rPr>
          <w:rFonts w:ascii="Calibri" w:hAnsi="Calibri"/>
          <w:i/>
        </w:rPr>
        <w:t xml:space="preserve"> unfair balance</w:t>
      </w:r>
    </w:p>
    <w:p w14:paraId="288200F2" w14:textId="77777777" w:rsidR="000B47EB" w:rsidRPr="006D4AB3" w:rsidRDefault="00C73ACF" w:rsidP="00AE5D60">
      <w:pPr>
        <w:ind w:left="720"/>
        <w:rPr>
          <w:rFonts w:ascii="Calibri" w:hAnsi="Calibri"/>
        </w:rPr>
      </w:pPr>
      <w:r w:rsidRPr="006D4AB3">
        <w:rPr>
          <w:rFonts w:ascii="Calibri" w:hAnsi="Calibri"/>
        </w:rPr>
        <w:t>The UK has a national deficit of</w:t>
      </w:r>
      <w:r w:rsidR="00AE5D60" w:rsidRPr="006D4AB3">
        <w:rPr>
          <w:rFonts w:ascii="Calibri" w:hAnsi="Calibri"/>
        </w:rPr>
        <w:t xml:space="preserve"> approximately</w:t>
      </w:r>
      <w:r w:rsidRPr="006D4AB3">
        <w:rPr>
          <w:rFonts w:ascii="Calibri" w:hAnsi="Calibri"/>
        </w:rPr>
        <w:t xml:space="preserve"> </w:t>
      </w:r>
      <w:r w:rsidR="00AE5D60" w:rsidRPr="006D4AB3">
        <w:rPr>
          <w:rFonts w:ascii="Calibri" w:hAnsi="Calibri"/>
        </w:rPr>
        <w:t xml:space="preserve">80% of GDP – this is historically and internationally </w:t>
      </w:r>
      <w:r w:rsidR="00F64C39" w:rsidRPr="006D4AB3">
        <w:rPr>
          <w:rFonts w:ascii="Calibri" w:hAnsi="Calibri"/>
        </w:rPr>
        <w:t xml:space="preserve">relatively </w:t>
      </w:r>
      <w:r w:rsidR="00AE5D60" w:rsidRPr="006D4AB3">
        <w:rPr>
          <w:rFonts w:ascii="Calibri" w:hAnsi="Calibri"/>
        </w:rPr>
        <w:t xml:space="preserve">low </w:t>
      </w:r>
      <w:r w:rsidR="009C418B" w:rsidRPr="006D4AB3">
        <w:rPr>
          <w:rFonts w:ascii="Calibri" w:hAnsi="Calibri"/>
        </w:rPr>
        <w:t>and stable</w:t>
      </w:r>
      <w:r w:rsidR="00AE5D60" w:rsidRPr="006D4AB3">
        <w:rPr>
          <w:rFonts w:ascii="Calibri" w:hAnsi="Calibri"/>
        </w:rPr>
        <w:t xml:space="preserve">. Whilst national borrowing has significantly decreased, the national deficit has </w:t>
      </w:r>
      <w:r w:rsidR="00F64C39" w:rsidRPr="006D4AB3">
        <w:rPr>
          <w:rFonts w:ascii="Calibri" w:hAnsi="Calibri"/>
        </w:rPr>
        <w:t xml:space="preserve">not </w:t>
      </w:r>
      <w:proofErr w:type="gramStart"/>
      <w:r w:rsidR="00F64C39" w:rsidRPr="006D4AB3">
        <w:rPr>
          <w:rFonts w:ascii="Calibri" w:hAnsi="Calibri"/>
        </w:rPr>
        <w:t>de</w:t>
      </w:r>
      <w:r w:rsidR="00AE5D60" w:rsidRPr="006D4AB3">
        <w:rPr>
          <w:rFonts w:ascii="Calibri" w:hAnsi="Calibri"/>
        </w:rPr>
        <w:t>creased</w:t>
      </w:r>
      <w:proofErr w:type="gramEnd"/>
      <w:r w:rsidR="00AE5D60" w:rsidRPr="006D4AB3">
        <w:rPr>
          <w:rFonts w:ascii="Calibri" w:hAnsi="Calibri"/>
        </w:rPr>
        <w:t xml:space="preserve"> as economic growth remains relatively stagnant.</w:t>
      </w:r>
      <w:r w:rsidR="00AE5D60" w:rsidRPr="006D4AB3">
        <w:rPr>
          <w:rStyle w:val="EndnoteReference"/>
          <w:rFonts w:ascii="Calibri" w:hAnsi="Calibri"/>
        </w:rPr>
        <w:endnoteReference w:id="54"/>
      </w:r>
      <w:r w:rsidR="00AE5D60" w:rsidRPr="006D4AB3">
        <w:rPr>
          <w:rFonts w:ascii="Calibri" w:hAnsi="Calibri"/>
        </w:rPr>
        <w:t xml:space="preserve"> T</w:t>
      </w:r>
      <w:r w:rsidR="00B963ED" w:rsidRPr="006D4AB3">
        <w:rPr>
          <w:rFonts w:ascii="Calibri" w:hAnsi="Calibri"/>
        </w:rPr>
        <w:t xml:space="preserve">he UK’s deficit reduction plan, including </w:t>
      </w:r>
      <w:r w:rsidRPr="006D4AB3">
        <w:rPr>
          <w:rFonts w:ascii="Calibri" w:hAnsi="Calibri"/>
        </w:rPr>
        <w:t>reform of social security</w:t>
      </w:r>
      <w:r w:rsidR="00B963ED" w:rsidRPr="006D4AB3">
        <w:rPr>
          <w:rFonts w:ascii="Calibri" w:hAnsi="Calibri"/>
        </w:rPr>
        <w:t>,</w:t>
      </w:r>
      <w:r w:rsidRPr="006D4AB3">
        <w:rPr>
          <w:rFonts w:ascii="Calibri" w:hAnsi="Calibri"/>
        </w:rPr>
        <w:t xml:space="preserve"> ha</w:t>
      </w:r>
      <w:r w:rsidR="00B963ED" w:rsidRPr="006D4AB3">
        <w:rPr>
          <w:rFonts w:ascii="Calibri" w:hAnsi="Calibri"/>
        </w:rPr>
        <w:t>s</w:t>
      </w:r>
      <w:r w:rsidRPr="006D4AB3">
        <w:rPr>
          <w:rFonts w:ascii="Calibri" w:hAnsi="Calibri"/>
        </w:rPr>
        <w:t xml:space="preserve"> disproportionately impacted on the most financially vulnerable </w:t>
      </w:r>
      <w:r w:rsidR="00B963ED" w:rsidRPr="006D4AB3">
        <w:rPr>
          <w:rFonts w:ascii="Calibri" w:hAnsi="Calibri"/>
        </w:rPr>
        <w:t xml:space="preserve">people </w:t>
      </w:r>
      <w:r w:rsidRPr="006D4AB3">
        <w:rPr>
          <w:rFonts w:ascii="Calibri" w:hAnsi="Calibri"/>
        </w:rPr>
        <w:t xml:space="preserve">in the UK, in a way that has severely </w:t>
      </w:r>
      <w:r w:rsidR="00B963ED" w:rsidRPr="006D4AB3">
        <w:rPr>
          <w:rFonts w:ascii="Calibri" w:hAnsi="Calibri"/>
        </w:rPr>
        <w:t>impacted</w:t>
      </w:r>
      <w:r w:rsidRPr="006D4AB3">
        <w:rPr>
          <w:rFonts w:ascii="Calibri" w:hAnsi="Calibri"/>
        </w:rPr>
        <w:t xml:space="preserve"> on household food security.</w:t>
      </w:r>
      <w:r w:rsidR="000B47EB" w:rsidRPr="006D4AB3">
        <w:rPr>
          <w:rFonts w:ascii="Calibri" w:hAnsi="Calibri"/>
        </w:rPr>
        <w:t xml:space="preserve"> </w:t>
      </w:r>
    </w:p>
    <w:p w14:paraId="1E6B1477" w14:textId="77777777" w:rsidR="000B47EB" w:rsidRPr="006D4AB3" w:rsidRDefault="000B47EB" w:rsidP="00AE5D60">
      <w:pPr>
        <w:ind w:left="720"/>
        <w:rPr>
          <w:rFonts w:ascii="Calibri" w:hAnsi="Calibri"/>
        </w:rPr>
      </w:pPr>
      <w:r w:rsidRPr="006D4AB3">
        <w:rPr>
          <w:rFonts w:ascii="Calibri" w:hAnsi="Calibri"/>
        </w:rPr>
        <w:t>The UK Government has treated people receiving social security as if they have made a lifestyle choice rather than as people exercising a socio-economic right. A false and damaging narrative has been perpetuated by the government in seeking to justify the cuts, including that people are undeserving ‘skivers’, and that people are en masse committing fraud to live a life of luxury. Social securit</w:t>
      </w:r>
      <w:r w:rsidR="00F64C39" w:rsidRPr="006D4AB3">
        <w:rPr>
          <w:rFonts w:ascii="Calibri" w:hAnsi="Calibri"/>
        </w:rPr>
        <w:t xml:space="preserve">y fraud </w:t>
      </w:r>
      <w:r w:rsidR="00AD4793" w:rsidRPr="006D4AB3">
        <w:rPr>
          <w:rFonts w:ascii="Calibri" w:hAnsi="Calibri"/>
        </w:rPr>
        <w:t>equates to 0.7</w:t>
      </w:r>
      <w:r w:rsidRPr="006D4AB3">
        <w:rPr>
          <w:rFonts w:ascii="Calibri" w:hAnsi="Calibri"/>
        </w:rPr>
        <w:t>% of spending,</w:t>
      </w:r>
      <w:r w:rsidR="00B624EA" w:rsidRPr="006D4AB3">
        <w:rPr>
          <w:rFonts w:ascii="Calibri" w:hAnsi="Calibri"/>
        </w:rPr>
        <w:t xml:space="preserve"> much less than the 0.9% of underpaid social security, and f</w:t>
      </w:r>
      <w:r w:rsidRPr="006D4AB3">
        <w:rPr>
          <w:rFonts w:ascii="Calibri" w:hAnsi="Calibri"/>
        </w:rPr>
        <w:t xml:space="preserve">ar surpassed by the government’s spending </w:t>
      </w:r>
      <w:r w:rsidR="00AD4793" w:rsidRPr="006D4AB3">
        <w:rPr>
          <w:rFonts w:ascii="Calibri" w:hAnsi="Calibri"/>
        </w:rPr>
        <w:t xml:space="preserve">on </w:t>
      </w:r>
      <w:r w:rsidRPr="006D4AB3">
        <w:rPr>
          <w:rFonts w:ascii="Calibri" w:hAnsi="Calibri"/>
        </w:rPr>
        <w:t>reforming, assessing, and appealing the entitlements of people who require support to live a life of dignity.</w:t>
      </w:r>
      <w:r w:rsidRPr="006D4AB3">
        <w:rPr>
          <w:rStyle w:val="EndnoteReference"/>
          <w:rFonts w:ascii="Calibri" w:hAnsi="Calibri"/>
        </w:rPr>
        <w:endnoteReference w:id="55"/>
      </w:r>
      <w:r w:rsidRPr="006D4AB3">
        <w:rPr>
          <w:rFonts w:ascii="Calibri" w:hAnsi="Calibri"/>
        </w:rPr>
        <w:t xml:space="preserve"> </w:t>
      </w:r>
      <w:r w:rsidR="00D05D10" w:rsidRPr="006D4AB3">
        <w:rPr>
          <w:rFonts w:ascii="Calibri" w:hAnsi="Calibri"/>
        </w:rPr>
        <w:t>Using the government’s estimates,</w:t>
      </w:r>
      <w:r w:rsidRPr="006D4AB3">
        <w:rPr>
          <w:rFonts w:ascii="Calibri" w:hAnsi="Calibri"/>
        </w:rPr>
        <w:t xml:space="preserve"> fraud </w:t>
      </w:r>
      <w:r w:rsidR="00D05D10" w:rsidRPr="006D4AB3">
        <w:rPr>
          <w:rFonts w:ascii="Calibri" w:hAnsi="Calibri"/>
        </w:rPr>
        <w:t xml:space="preserve">in </w:t>
      </w:r>
      <w:r w:rsidRPr="006D4AB3">
        <w:rPr>
          <w:rFonts w:ascii="Calibri" w:hAnsi="Calibri"/>
        </w:rPr>
        <w:t>personal and corporate</w:t>
      </w:r>
      <w:r w:rsidR="00D05D10" w:rsidRPr="006D4AB3">
        <w:rPr>
          <w:rFonts w:ascii="Calibri" w:hAnsi="Calibri"/>
          <w:b/>
        </w:rPr>
        <w:t xml:space="preserve"> tax evasion and avoidance</w:t>
      </w:r>
      <w:r w:rsidRPr="006D4AB3">
        <w:rPr>
          <w:rFonts w:ascii="Calibri" w:hAnsi="Calibri"/>
          <w:b/>
        </w:rPr>
        <w:t xml:space="preserve"> outweigh</w:t>
      </w:r>
      <w:r w:rsidR="00D05D10" w:rsidRPr="006D4AB3">
        <w:rPr>
          <w:rFonts w:ascii="Calibri" w:hAnsi="Calibri"/>
          <w:b/>
        </w:rPr>
        <w:t>s</w:t>
      </w:r>
      <w:r w:rsidRPr="006D4AB3">
        <w:rPr>
          <w:rFonts w:ascii="Calibri" w:hAnsi="Calibri"/>
          <w:b/>
        </w:rPr>
        <w:t xml:space="preserve"> that of social security by </w:t>
      </w:r>
      <w:r w:rsidR="00D05D10" w:rsidRPr="006D4AB3">
        <w:rPr>
          <w:rFonts w:ascii="Calibri" w:hAnsi="Calibri"/>
          <w:b/>
        </w:rPr>
        <w:t xml:space="preserve">over </w:t>
      </w:r>
      <w:r w:rsidR="00B624EA" w:rsidRPr="006D4AB3">
        <w:rPr>
          <w:rFonts w:ascii="Calibri" w:hAnsi="Calibri"/>
          <w:b/>
        </w:rPr>
        <w:t>2</w:t>
      </w:r>
      <w:r w:rsidR="00D05D10" w:rsidRPr="006D4AB3">
        <w:rPr>
          <w:rFonts w:ascii="Calibri" w:hAnsi="Calibri"/>
          <w:b/>
        </w:rPr>
        <w:t>6</w:t>
      </w:r>
      <w:r w:rsidR="00B624EA" w:rsidRPr="006D4AB3">
        <w:rPr>
          <w:rFonts w:ascii="Calibri" w:hAnsi="Calibri"/>
          <w:b/>
        </w:rPr>
        <w:t>00%</w:t>
      </w:r>
      <w:r w:rsidR="00F64C39" w:rsidRPr="006D4AB3">
        <w:rPr>
          <w:rFonts w:ascii="Calibri" w:hAnsi="Calibri"/>
        </w:rPr>
        <w:t xml:space="preserve"> though has received much less government intervention.</w:t>
      </w:r>
      <w:r w:rsidR="00747FBF" w:rsidRPr="006D4AB3">
        <w:rPr>
          <w:rStyle w:val="EndnoteReference"/>
          <w:rFonts w:ascii="Calibri" w:hAnsi="Calibri"/>
        </w:rPr>
        <w:endnoteReference w:id="56"/>
      </w:r>
    </w:p>
    <w:p w14:paraId="0CFCD6D3" w14:textId="77777777" w:rsidR="00B963ED" w:rsidRPr="006D4AB3" w:rsidRDefault="00B963ED" w:rsidP="003D3BD7">
      <w:pPr>
        <w:ind w:left="720"/>
        <w:rPr>
          <w:rFonts w:ascii="Calibri" w:hAnsi="Calibri"/>
        </w:rPr>
      </w:pPr>
      <w:r w:rsidRPr="006D4AB3">
        <w:rPr>
          <w:rFonts w:ascii="Calibri" w:hAnsi="Calibri"/>
        </w:rPr>
        <w:t xml:space="preserve">The </w:t>
      </w:r>
      <w:r w:rsidR="00997335" w:rsidRPr="006D4AB3">
        <w:rPr>
          <w:rFonts w:ascii="Calibri" w:hAnsi="Calibri"/>
        </w:rPr>
        <w:t xml:space="preserve">2016 Spring </w:t>
      </w:r>
      <w:r w:rsidRPr="006D4AB3">
        <w:rPr>
          <w:rFonts w:ascii="Calibri" w:hAnsi="Calibri"/>
        </w:rPr>
        <w:t>Budget continued to make significant austerity cuts to social security and services whilst simultaneously reducing the tax burden o</w:t>
      </w:r>
      <w:r w:rsidR="00997335" w:rsidRPr="006D4AB3">
        <w:rPr>
          <w:rFonts w:ascii="Calibri" w:hAnsi="Calibri"/>
        </w:rPr>
        <w:t>f</w:t>
      </w:r>
      <w:r w:rsidRPr="006D4AB3">
        <w:rPr>
          <w:rFonts w:ascii="Calibri" w:hAnsi="Calibri"/>
        </w:rPr>
        <w:t xml:space="preserve"> the most wealthy earners and businesses. </w:t>
      </w:r>
      <w:r w:rsidR="000C315E" w:rsidRPr="006D4AB3">
        <w:rPr>
          <w:rFonts w:ascii="Calibri" w:hAnsi="Calibri"/>
        </w:rPr>
        <w:t>This included raising the threshold of the higher rate of</w:t>
      </w:r>
      <w:r w:rsidR="00556672" w:rsidRPr="006D4AB3">
        <w:rPr>
          <w:rFonts w:ascii="Calibri" w:hAnsi="Calibri"/>
        </w:rPr>
        <w:t xml:space="preserve"> Income</w:t>
      </w:r>
      <w:r w:rsidR="000C315E" w:rsidRPr="006D4AB3">
        <w:rPr>
          <w:rFonts w:ascii="Calibri" w:hAnsi="Calibri"/>
        </w:rPr>
        <w:t xml:space="preserve"> </w:t>
      </w:r>
      <w:r w:rsidR="00556672" w:rsidRPr="006D4AB3">
        <w:rPr>
          <w:rFonts w:ascii="Calibri" w:hAnsi="Calibri"/>
        </w:rPr>
        <w:t>Ta</w:t>
      </w:r>
      <w:r w:rsidR="000C315E" w:rsidRPr="006D4AB3">
        <w:rPr>
          <w:rFonts w:ascii="Calibri" w:hAnsi="Calibri"/>
        </w:rPr>
        <w:t>x from £43,000 to £45,000</w:t>
      </w:r>
      <w:r w:rsidR="00556672" w:rsidRPr="006D4AB3">
        <w:rPr>
          <w:rFonts w:ascii="Calibri" w:hAnsi="Calibri"/>
        </w:rPr>
        <w:t>, and cutting Corporation Tax to 17%</w:t>
      </w:r>
      <w:r w:rsidR="002E7A4F" w:rsidRPr="006D4AB3">
        <w:rPr>
          <w:rFonts w:ascii="Calibri" w:hAnsi="Calibri"/>
        </w:rPr>
        <w:t>,</w:t>
      </w:r>
      <w:r w:rsidR="00556672" w:rsidRPr="006D4AB3">
        <w:rPr>
          <w:rFonts w:ascii="Calibri" w:hAnsi="Calibri"/>
        </w:rPr>
        <w:t xml:space="preserve"> down from 28% in 2010. Even the increase of the tax free personal allowance to £11,500 which appears to be in the interest of low earners, will have no benefit to 43% of workers who earn less than the allowance. </w:t>
      </w:r>
      <w:r w:rsidRPr="006D4AB3">
        <w:rPr>
          <w:rFonts w:ascii="Calibri" w:hAnsi="Calibri"/>
        </w:rPr>
        <w:t xml:space="preserve">Forecasts predict that </w:t>
      </w:r>
      <w:r w:rsidR="00556672" w:rsidRPr="006D4AB3">
        <w:rPr>
          <w:rFonts w:ascii="Calibri" w:hAnsi="Calibri"/>
        </w:rPr>
        <w:t>the</w:t>
      </w:r>
      <w:r w:rsidRPr="006D4AB3">
        <w:rPr>
          <w:rFonts w:ascii="Calibri" w:hAnsi="Calibri"/>
        </w:rPr>
        <w:t xml:space="preserve"> most recent changes mean that </w:t>
      </w:r>
      <w:r w:rsidRPr="006D4AB3">
        <w:rPr>
          <w:rFonts w:ascii="Calibri" w:hAnsi="Calibri"/>
          <w:b/>
        </w:rPr>
        <w:t>the</w:t>
      </w:r>
      <w:r w:rsidR="00997335" w:rsidRPr="006D4AB3">
        <w:rPr>
          <w:rFonts w:ascii="Calibri" w:hAnsi="Calibri"/>
          <w:b/>
        </w:rPr>
        <w:t xml:space="preserve"> highest</w:t>
      </w:r>
      <w:r w:rsidRPr="006D4AB3">
        <w:rPr>
          <w:rFonts w:ascii="Calibri" w:hAnsi="Calibri"/>
          <w:b/>
        </w:rPr>
        <w:t xml:space="preserve"> 20% of </w:t>
      </w:r>
      <w:r w:rsidR="00997335" w:rsidRPr="006D4AB3">
        <w:rPr>
          <w:rFonts w:ascii="Calibri" w:hAnsi="Calibri"/>
          <w:b/>
        </w:rPr>
        <w:t>earners will</w:t>
      </w:r>
      <w:r w:rsidRPr="006D4AB3">
        <w:rPr>
          <w:rFonts w:ascii="Calibri" w:hAnsi="Calibri"/>
          <w:b/>
        </w:rPr>
        <w:t xml:space="preserve"> have been granted the same amount in ‘shadow welfare’ or tax breaks as the </w:t>
      </w:r>
      <w:r w:rsidR="00997335" w:rsidRPr="006D4AB3">
        <w:rPr>
          <w:rFonts w:ascii="Calibri" w:hAnsi="Calibri"/>
          <w:b/>
        </w:rPr>
        <w:t>lowest</w:t>
      </w:r>
      <w:r w:rsidRPr="006D4AB3">
        <w:rPr>
          <w:rFonts w:ascii="Calibri" w:hAnsi="Calibri"/>
          <w:b/>
        </w:rPr>
        <w:t xml:space="preserve"> 20% receive in social security</w:t>
      </w:r>
      <w:r w:rsidR="00997335" w:rsidRPr="006D4AB3">
        <w:rPr>
          <w:rFonts w:ascii="Calibri" w:hAnsi="Calibri"/>
        </w:rPr>
        <w:t xml:space="preserve"> – approximately £10,000 by 2020</w:t>
      </w:r>
      <w:r w:rsidRPr="006D4AB3">
        <w:rPr>
          <w:rFonts w:ascii="Calibri" w:hAnsi="Calibri"/>
        </w:rPr>
        <w:t>.</w:t>
      </w:r>
      <w:r w:rsidRPr="006D4AB3">
        <w:rPr>
          <w:rStyle w:val="EndnoteReference"/>
          <w:rFonts w:ascii="Calibri" w:hAnsi="Calibri"/>
        </w:rPr>
        <w:endnoteReference w:id="57"/>
      </w:r>
    </w:p>
    <w:p w14:paraId="5ACA1BF7" w14:textId="77777777" w:rsidR="00A762BD" w:rsidRPr="006D4AB3" w:rsidRDefault="00F64C39" w:rsidP="00A762BD">
      <w:pPr>
        <w:ind w:left="720"/>
        <w:rPr>
          <w:rFonts w:ascii="Calibri" w:hAnsi="Calibri"/>
        </w:rPr>
      </w:pPr>
      <w:r w:rsidRPr="006D4AB3">
        <w:rPr>
          <w:rFonts w:ascii="Calibri" w:hAnsi="Calibri"/>
        </w:rPr>
        <w:t>Some senior g</w:t>
      </w:r>
      <w:r w:rsidR="00BD0C4C" w:rsidRPr="006D4AB3">
        <w:rPr>
          <w:rFonts w:ascii="Calibri" w:hAnsi="Calibri"/>
        </w:rPr>
        <w:t xml:space="preserve">overnment </w:t>
      </w:r>
      <w:r w:rsidRPr="006D4AB3">
        <w:rPr>
          <w:rFonts w:ascii="Calibri" w:hAnsi="Calibri"/>
        </w:rPr>
        <w:t>officials</w:t>
      </w:r>
      <w:r w:rsidR="00BD0C4C" w:rsidRPr="006D4AB3">
        <w:rPr>
          <w:rFonts w:ascii="Calibri" w:hAnsi="Calibri"/>
        </w:rPr>
        <w:t xml:space="preserve"> deny the causal link between </w:t>
      </w:r>
      <w:r w:rsidR="00AD4793" w:rsidRPr="006D4AB3">
        <w:rPr>
          <w:rFonts w:ascii="Calibri" w:hAnsi="Calibri"/>
        </w:rPr>
        <w:t>the cuts</w:t>
      </w:r>
      <w:r w:rsidR="00BD0C4C" w:rsidRPr="006D4AB3">
        <w:rPr>
          <w:rFonts w:ascii="Calibri" w:hAnsi="Calibri"/>
        </w:rPr>
        <w:t xml:space="preserve"> and the dramatic rise in food bank</w:t>
      </w:r>
      <w:r w:rsidR="00A762BD" w:rsidRPr="006D4AB3">
        <w:rPr>
          <w:rFonts w:ascii="Calibri" w:hAnsi="Calibri"/>
        </w:rPr>
        <w:t>s</w:t>
      </w:r>
      <w:r w:rsidR="00BD0C4C" w:rsidRPr="006D4AB3">
        <w:rPr>
          <w:rFonts w:ascii="Calibri" w:hAnsi="Calibri"/>
        </w:rPr>
        <w:t>.</w:t>
      </w:r>
      <w:r w:rsidR="002E7A4F" w:rsidRPr="006D4AB3">
        <w:rPr>
          <w:rFonts w:ascii="Calibri" w:hAnsi="Calibri"/>
        </w:rPr>
        <w:t xml:space="preserve"> </w:t>
      </w:r>
      <w:r w:rsidRPr="006D4AB3">
        <w:rPr>
          <w:rFonts w:ascii="Calibri" w:hAnsi="Calibri"/>
        </w:rPr>
        <w:t xml:space="preserve">This prevents discussion of measures to tackle the systemic roots of food insecurity, and move away from the institutionalisation of food banks. </w:t>
      </w:r>
    </w:p>
    <w:p w14:paraId="169FBF3B" w14:textId="77777777" w:rsidR="00BD0C4C" w:rsidRPr="006D4AB3" w:rsidRDefault="00A762BD" w:rsidP="00A762BD">
      <w:pPr>
        <w:ind w:left="720"/>
        <w:jc w:val="right"/>
        <w:rPr>
          <w:rFonts w:ascii="Calibri" w:hAnsi="Calibri"/>
          <w:i/>
          <w:sz w:val="20"/>
        </w:rPr>
      </w:pPr>
      <w:r w:rsidRPr="006D4AB3">
        <w:rPr>
          <w:rFonts w:ascii="Calibri" w:hAnsi="Calibri"/>
          <w:i/>
          <w:sz w:val="20"/>
        </w:rPr>
        <w:t xml:space="preserve">– </w:t>
      </w:r>
      <w:proofErr w:type="gramStart"/>
      <w:r w:rsidRPr="006D4AB3">
        <w:rPr>
          <w:rFonts w:ascii="Calibri" w:hAnsi="Calibri"/>
          <w:i/>
          <w:sz w:val="20"/>
        </w:rPr>
        <w:t>see</w:t>
      </w:r>
      <w:proofErr w:type="gramEnd"/>
      <w:r w:rsidRPr="006D4AB3">
        <w:rPr>
          <w:rFonts w:ascii="Calibri" w:hAnsi="Calibri"/>
          <w:i/>
          <w:sz w:val="20"/>
        </w:rPr>
        <w:t xml:space="preserve"> ‘culturally appropriate’ heading, under section on Adequacy, for fuller discussion of crisis provision</w:t>
      </w:r>
    </w:p>
    <w:p w14:paraId="5905D448" w14:textId="77777777" w:rsidR="001A3D3C" w:rsidRPr="006D4AB3" w:rsidRDefault="00506EFF" w:rsidP="0065383A">
      <w:pPr>
        <w:ind w:left="2160" w:hanging="2160"/>
        <w:rPr>
          <w:rFonts w:ascii="Calibri" w:hAnsi="Calibri"/>
        </w:rPr>
      </w:pPr>
      <w:r w:rsidRPr="006D4AB3">
        <w:rPr>
          <w:rFonts w:ascii="Calibri" w:hAnsi="Calibri"/>
          <w:b/>
        </w:rPr>
        <w:t>Recommendation 4:</w:t>
      </w:r>
      <w:r w:rsidRPr="006D4AB3">
        <w:rPr>
          <w:rFonts w:ascii="Calibri" w:hAnsi="Calibri"/>
        </w:rPr>
        <w:t xml:space="preserve"> </w:t>
      </w:r>
      <w:r w:rsidRPr="006D4AB3">
        <w:rPr>
          <w:rFonts w:ascii="Calibri" w:hAnsi="Calibri"/>
        </w:rPr>
        <w:tab/>
      </w:r>
      <w:r w:rsidR="001A3D3C" w:rsidRPr="006D4AB3">
        <w:rPr>
          <w:rFonts w:ascii="Calibri" w:hAnsi="Calibri"/>
        </w:rPr>
        <w:t>Undertake a cumulative impact assessment o</w:t>
      </w:r>
      <w:r w:rsidR="00A762BD" w:rsidRPr="006D4AB3">
        <w:rPr>
          <w:rFonts w:ascii="Calibri" w:hAnsi="Calibri"/>
        </w:rPr>
        <w:t>f</w:t>
      </w:r>
      <w:r w:rsidR="001A3D3C" w:rsidRPr="006D4AB3">
        <w:rPr>
          <w:rFonts w:ascii="Calibri" w:hAnsi="Calibri"/>
        </w:rPr>
        <w:t xml:space="preserve"> the impacts of welfare reform, paying particular attention to the non-discrimination aspects of the Covenant, and use this to inform the delivery of a social security system that enables people to live with dignity, and supports people to find appropriate and rewarding work.</w:t>
      </w:r>
      <w:r w:rsidR="00F64C39" w:rsidRPr="006D4AB3">
        <w:rPr>
          <w:rFonts w:ascii="Calibri" w:hAnsi="Calibri"/>
        </w:rPr>
        <w:br/>
        <w:t>Ensure that any crisis provision is person-centred, protects choice and dignity.</w:t>
      </w:r>
    </w:p>
    <w:p w14:paraId="54D06AC6" w14:textId="74DA3936" w:rsidR="00506EFF" w:rsidRPr="006D4AB3" w:rsidRDefault="00345A0B" w:rsidP="00345A0B">
      <w:pPr>
        <w:ind w:left="720"/>
        <w:rPr>
          <w:rFonts w:ascii="Calibri" w:hAnsi="Calibri"/>
          <w:b/>
          <w:sz w:val="28"/>
        </w:rPr>
      </w:pPr>
      <w:r w:rsidRPr="006D4AB3">
        <w:rPr>
          <w:rFonts w:ascii="Calibri" w:hAnsi="Calibri"/>
          <w:noProof/>
          <w:color w:val="FF0000"/>
          <w:lang w:val="en-US"/>
        </w:rPr>
        <mc:AlternateContent>
          <mc:Choice Requires="wps">
            <w:drawing>
              <wp:anchor distT="0" distB="0" distL="114300" distR="114300" simplePos="0" relativeHeight="251697152" behindDoc="0" locked="0" layoutInCell="1" allowOverlap="1" wp14:anchorId="057050C7" wp14:editId="33B46FB8">
                <wp:simplePos x="0" y="0"/>
                <wp:positionH relativeFrom="leftMargin">
                  <wp:posOffset>540385</wp:posOffset>
                </wp:positionH>
                <wp:positionV relativeFrom="paragraph">
                  <wp:posOffset>274320</wp:posOffset>
                </wp:positionV>
                <wp:extent cx="0" cy="20574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0" cy="2057400"/>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590823"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5pt,21.6pt" to="42.5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" strokecolor="red" strokeweight="2pt">
                <v:stroke dashstyle="dash" joinstyle="miter"/>
                <w10:wrap anchorx="margin"/>
              </v:line>
            </w:pict>
          </mc:Fallback>
        </mc:AlternateContent>
      </w:r>
      <w:r>
        <w:rPr>
          <w:rFonts w:ascii="Calibri" w:hAnsi="Calibri"/>
          <w:b/>
          <w:color w:val="FF0000"/>
          <w:sz w:val="32"/>
        </w:rPr>
        <w:br/>
      </w:r>
      <w:r w:rsidR="00506EFF" w:rsidRPr="006D4AB3">
        <w:rPr>
          <w:rFonts w:ascii="Calibri" w:hAnsi="Calibri"/>
          <w:b/>
          <w:color w:val="FF0000"/>
          <w:sz w:val="32"/>
        </w:rPr>
        <w:t xml:space="preserve">Accessible: </w:t>
      </w:r>
      <w:r w:rsidR="00373144" w:rsidRPr="006D4AB3">
        <w:rPr>
          <w:rFonts w:ascii="Calibri" w:hAnsi="Calibri"/>
          <w:b/>
          <w:color w:val="FF0000"/>
          <w:sz w:val="32"/>
        </w:rPr>
        <w:tab/>
      </w:r>
      <w:r w:rsidR="00506EFF" w:rsidRPr="006D4AB3">
        <w:rPr>
          <w:rFonts w:ascii="Calibri" w:hAnsi="Calibri"/>
          <w:b/>
          <w:color w:val="FF0000"/>
          <w:sz w:val="32"/>
        </w:rPr>
        <w:t>Geographically</w:t>
      </w:r>
    </w:p>
    <w:p w14:paraId="5A9D03DF" w14:textId="016BCF61" w:rsidR="00A063D3" w:rsidRPr="006D4AB3" w:rsidRDefault="00A063D3" w:rsidP="00A063D3">
      <w:pPr>
        <w:ind w:left="720"/>
        <w:jc w:val="right"/>
        <w:rPr>
          <w:rFonts w:ascii="Calibri" w:hAnsi="Calibri"/>
          <w:i/>
          <w:sz w:val="20"/>
        </w:rPr>
      </w:pPr>
      <w:r w:rsidRPr="006D4AB3">
        <w:rPr>
          <w:rFonts w:ascii="Calibri" w:hAnsi="Calibri"/>
          <w:i/>
          <w:sz w:val="20"/>
        </w:rPr>
        <w:t xml:space="preserve">- </w:t>
      </w:r>
      <w:proofErr w:type="gramStart"/>
      <w:r w:rsidRPr="006D4AB3">
        <w:rPr>
          <w:rFonts w:ascii="Calibri" w:hAnsi="Calibri"/>
          <w:i/>
          <w:sz w:val="20"/>
        </w:rPr>
        <w:t>this</w:t>
      </w:r>
      <w:proofErr w:type="gramEnd"/>
      <w:r w:rsidRPr="006D4AB3">
        <w:rPr>
          <w:rFonts w:ascii="Calibri" w:hAnsi="Calibri"/>
          <w:i/>
          <w:sz w:val="20"/>
        </w:rPr>
        <w:t xml:space="preserve"> section focuses on people who do not have geographical access due to illness, disability or ag</w:t>
      </w:r>
      <w:r w:rsidR="00A762BD" w:rsidRPr="006D4AB3">
        <w:rPr>
          <w:rFonts w:ascii="Calibri" w:hAnsi="Calibri"/>
          <w:i/>
          <w:sz w:val="20"/>
        </w:rPr>
        <w:t>e, also see section on A</w:t>
      </w:r>
      <w:r w:rsidRPr="006D4AB3">
        <w:rPr>
          <w:rFonts w:ascii="Calibri" w:hAnsi="Calibri"/>
          <w:i/>
          <w:sz w:val="20"/>
        </w:rPr>
        <w:t>dequacy</w:t>
      </w:r>
      <w:r w:rsidR="00A762BD" w:rsidRPr="006D4AB3">
        <w:rPr>
          <w:rFonts w:ascii="Calibri" w:hAnsi="Calibri"/>
          <w:i/>
          <w:sz w:val="20"/>
        </w:rPr>
        <w:t>, under heading ‘planning out poverty</w:t>
      </w:r>
      <w:r w:rsidR="00EF4E1D" w:rsidRPr="006D4AB3">
        <w:rPr>
          <w:rFonts w:ascii="Calibri" w:hAnsi="Calibri"/>
          <w:i/>
          <w:sz w:val="20"/>
        </w:rPr>
        <w:t>’ for</w:t>
      </w:r>
      <w:r w:rsidRPr="006D4AB3">
        <w:rPr>
          <w:rFonts w:ascii="Calibri" w:hAnsi="Calibri"/>
          <w:i/>
          <w:sz w:val="20"/>
        </w:rPr>
        <w:t xml:space="preserve"> further </w:t>
      </w:r>
      <w:r w:rsidR="00461392">
        <w:rPr>
          <w:rFonts w:ascii="Calibri" w:hAnsi="Calibri"/>
          <w:i/>
          <w:sz w:val="20"/>
        </w:rPr>
        <w:t>comment on geographical food de</w:t>
      </w:r>
      <w:r w:rsidRPr="006D4AB3">
        <w:rPr>
          <w:rFonts w:ascii="Calibri" w:hAnsi="Calibri"/>
          <w:i/>
          <w:sz w:val="20"/>
        </w:rPr>
        <w:t>serts</w:t>
      </w:r>
    </w:p>
    <w:p w14:paraId="54AA68F6" w14:textId="77777777" w:rsidR="00506EFF" w:rsidRPr="006D4AB3" w:rsidRDefault="00506EFF" w:rsidP="00A762BD">
      <w:pPr>
        <w:ind w:left="720"/>
        <w:rPr>
          <w:rFonts w:ascii="Calibri" w:hAnsi="Calibri"/>
        </w:rPr>
      </w:pPr>
      <w:r w:rsidRPr="006D4AB3">
        <w:rPr>
          <w:rFonts w:ascii="Calibri" w:hAnsi="Calibri"/>
        </w:rPr>
        <w:t xml:space="preserve">People living at home who are unable to independently access food because of illness, disability, or age are systematically failed. </w:t>
      </w:r>
      <w:r w:rsidRPr="0086200C">
        <w:rPr>
          <w:rFonts w:ascii="Calibri" w:hAnsi="Calibri"/>
          <w:b/>
        </w:rPr>
        <w:t>Local authorities are not legally required to ensure vulnerable people who would otherwise not be able to geographically access food are supported with such access</w:t>
      </w:r>
      <w:r w:rsidRPr="006D4AB3">
        <w:rPr>
          <w:rFonts w:ascii="Calibri" w:hAnsi="Calibri"/>
        </w:rPr>
        <w:t xml:space="preserve">. Many have historically provided low-cost community meals or ‘meals on wheels’ home delivery service, paid for by the individual. Councils have significantly reduced this service over the reporting period with </w:t>
      </w:r>
      <w:r w:rsidRPr="006D4AB3">
        <w:rPr>
          <w:rFonts w:ascii="Calibri" w:hAnsi="Calibri"/>
          <w:b/>
        </w:rPr>
        <w:t>over 60% of service suspended, and have more than doubled the cost</w:t>
      </w:r>
      <w:r w:rsidRPr="006D4AB3">
        <w:rPr>
          <w:rFonts w:ascii="Calibri" w:hAnsi="Calibri"/>
        </w:rPr>
        <w:t xml:space="preserve"> of the service pricing many older people out.</w:t>
      </w:r>
      <w:r w:rsidRPr="006D4AB3">
        <w:rPr>
          <w:rStyle w:val="EndnoteReference"/>
          <w:rFonts w:ascii="Calibri" w:hAnsi="Calibri"/>
        </w:rPr>
        <w:endnoteReference w:id="58"/>
      </w:r>
      <w:r w:rsidRPr="006D4AB3">
        <w:rPr>
          <w:rFonts w:ascii="Calibri" w:hAnsi="Calibri"/>
        </w:rPr>
        <w:t xml:space="preserve"> </w:t>
      </w:r>
    </w:p>
    <w:p w14:paraId="2889953D" w14:textId="2C2EA3F6" w:rsidR="00A762BD" w:rsidRPr="006D4AB3" w:rsidRDefault="00345A0B" w:rsidP="00A762BD">
      <w:pPr>
        <w:ind w:left="720"/>
        <w:rPr>
          <w:rFonts w:ascii="Calibri" w:hAnsi="Calibri"/>
        </w:rPr>
      </w:pPr>
      <w:r w:rsidRPr="006D4AB3">
        <w:rPr>
          <w:rFonts w:ascii="Calibri" w:hAnsi="Calibri"/>
          <w:noProof/>
          <w:color w:val="FF0000"/>
          <w:lang w:val="en-US"/>
        </w:rPr>
        <w:lastRenderedPageBreak/>
        <mc:AlternateContent>
          <mc:Choice Requires="wps">
            <w:drawing>
              <wp:anchor distT="0" distB="0" distL="114300" distR="114300" simplePos="0" relativeHeight="251676672" behindDoc="0" locked="0" layoutInCell="1" allowOverlap="1" wp14:anchorId="70F049C6" wp14:editId="5E574A8F">
                <wp:simplePos x="0" y="0"/>
                <wp:positionH relativeFrom="leftMargin">
                  <wp:posOffset>540385</wp:posOffset>
                </wp:positionH>
                <wp:positionV relativeFrom="paragraph">
                  <wp:posOffset>0</wp:posOffset>
                </wp:positionV>
                <wp:extent cx="0" cy="27432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2743200"/>
                        </a:xfrm>
                        <a:prstGeom prst="line">
                          <a:avLst/>
                        </a:prstGeom>
                        <a:ln w="254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A2AACF"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5pt,0" to="42.5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" strokecolor="red" strokeweight="2pt">
                <v:stroke dashstyle="dash" joinstyle="miter"/>
                <w10:wrap anchorx="margin"/>
              </v:line>
            </w:pict>
          </mc:Fallback>
        </mc:AlternateContent>
      </w:r>
      <w:r w:rsidR="00506EFF" w:rsidRPr="006D4AB3">
        <w:rPr>
          <w:rFonts w:ascii="Calibri" w:hAnsi="Calibri"/>
        </w:rPr>
        <w:t>People with more complex care needs have nutrition included in their personalised care plan, but there is a growing body of evidence depicting failings in the delivery of home care. The concerns include access to food with provision often not meeting the person</w:t>
      </w:r>
      <w:r w:rsidR="00CC00A7" w:rsidRPr="006D4AB3">
        <w:rPr>
          <w:rFonts w:ascii="Calibri" w:hAnsi="Calibri"/>
        </w:rPr>
        <w:t>’</w:t>
      </w:r>
      <w:r w:rsidR="00506EFF" w:rsidRPr="006D4AB3">
        <w:rPr>
          <w:rFonts w:ascii="Calibri" w:hAnsi="Calibri"/>
        </w:rPr>
        <w:t>s care plan or preferences, and carers not giving essential support to eat to peop</w:t>
      </w:r>
      <w:r w:rsidR="00CC00A7" w:rsidRPr="006D4AB3">
        <w:rPr>
          <w:rFonts w:ascii="Calibri" w:hAnsi="Calibri"/>
        </w:rPr>
        <w:t>le who require assistance. The i</w:t>
      </w:r>
      <w:r w:rsidR="00506EFF" w:rsidRPr="006D4AB3">
        <w:rPr>
          <w:rFonts w:ascii="Calibri" w:hAnsi="Calibri"/>
        </w:rPr>
        <w:t>ncorrect recording of food given and consumed makes it difficult to trace errors and ensure the effectiveness of medication.</w:t>
      </w:r>
      <w:r w:rsidR="00506EFF" w:rsidRPr="006D4AB3">
        <w:rPr>
          <w:rStyle w:val="EndnoteReference"/>
          <w:rFonts w:ascii="Calibri" w:hAnsi="Calibri"/>
        </w:rPr>
        <w:endnoteReference w:id="59"/>
      </w:r>
    </w:p>
    <w:p w14:paraId="412EFFE7" w14:textId="1E7EA775" w:rsidR="00A762BD" w:rsidRPr="006D4AB3" w:rsidRDefault="00A762BD" w:rsidP="00A762BD">
      <w:pPr>
        <w:ind w:left="720"/>
        <w:rPr>
          <w:rFonts w:ascii="Calibri" w:hAnsi="Calibri"/>
        </w:rPr>
      </w:pPr>
      <w:r w:rsidRPr="006D4AB3">
        <w:rPr>
          <w:rFonts w:ascii="Calibri" w:hAnsi="Calibri"/>
        </w:rPr>
        <w:t xml:space="preserve">The abolition of the </w:t>
      </w:r>
      <w:r w:rsidRPr="006D4AB3">
        <w:rPr>
          <w:rFonts w:ascii="Calibri" w:hAnsi="Calibri"/>
          <w:i/>
        </w:rPr>
        <w:t>Independent Living Fund</w:t>
      </w:r>
      <w:r w:rsidRPr="006D4AB3">
        <w:rPr>
          <w:rFonts w:ascii="Calibri" w:hAnsi="Calibri"/>
        </w:rPr>
        <w:t xml:space="preserve"> (ILF), making discretionary payments to enable disabled people to live in their communities rather than in residential care, </w:t>
      </w:r>
      <w:r w:rsidR="00CC00A7" w:rsidRPr="006D4AB3">
        <w:rPr>
          <w:rFonts w:ascii="Calibri" w:hAnsi="Calibri"/>
        </w:rPr>
        <w:t>risks</w:t>
      </w:r>
      <w:r w:rsidRPr="006D4AB3">
        <w:rPr>
          <w:rFonts w:ascii="Calibri" w:hAnsi="Calibri"/>
        </w:rPr>
        <w:t xml:space="preserve"> further exacerbat</w:t>
      </w:r>
      <w:r w:rsidR="00CC00A7" w:rsidRPr="006D4AB3">
        <w:rPr>
          <w:rFonts w:ascii="Calibri" w:hAnsi="Calibri"/>
        </w:rPr>
        <w:t xml:space="preserve">ing </w:t>
      </w:r>
      <w:r w:rsidRPr="006D4AB3">
        <w:rPr>
          <w:rFonts w:ascii="Calibri" w:hAnsi="Calibri"/>
        </w:rPr>
        <w:t>geographical access to food. Relevant funds were devolved to local authorities and devolved administration, though as the money is not ring-fenced it risks becoming absorbed in to overstretched council budgets, creating an unfair postcode lottery</w:t>
      </w:r>
      <w:r w:rsidRPr="006D4AB3">
        <w:rPr>
          <w:rStyle w:val="EndnoteReference"/>
          <w:rFonts w:ascii="Calibri" w:hAnsi="Calibri"/>
        </w:rPr>
        <w:t xml:space="preserve"> </w:t>
      </w:r>
      <w:r w:rsidRPr="006D4AB3">
        <w:rPr>
          <w:rStyle w:val="EndnoteReference"/>
          <w:rFonts w:ascii="Calibri" w:hAnsi="Calibri"/>
        </w:rPr>
        <w:endnoteReference w:id="60"/>
      </w:r>
      <w:r w:rsidRPr="006D4AB3">
        <w:rPr>
          <w:rFonts w:ascii="Calibri" w:hAnsi="Calibri"/>
        </w:rPr>
        <w:t xml:space="preserve"> </w:t>
      </w:r>
      <w:r w:rsidRPr="00877FE4">
        <w:rPr>
          <w:rFonts w:ascii="Calibri" w:hAnsi="Calibri"/>
          <w:color w:val="3366FF"/>
        </w:rPr>
        <w:t>The Independent Living Fund Scotland was established with ring-fenced funding following the closure of the</w:t>
      </w:r>
      <w:r w:rsidR="0086200C">
        <w:rPr>
          <w:rFonts w:ascii="Calibri" w:hAnsi="Calibri"/>
          <w:color w:val="3366FF"/>
        </w:rPr>
        <w:t xml:space="preserve"> UK</w:t>
      </w:r>
      <w:r w:rsidRPr="00877FE4">
        <w:rPr>
          <w:rFonts w:ascii="Calibri" w:hAnsi="Calibri"/>
          <w:color w:val="3366FF"/>
        </w:rPr>
        <w:t xml:space="preserve"> ILF.</w:t>
      </w:r>
      <w:r w:rsidRPr="006D4AB3">
        <w:rPr>
          <w:rFonts w:ascii="Calibri" w:hAnsi="Calibri" w:cs="Times New Roman"/>
          <w:sz w:val="24"/>
          <w:szCs w:val="24"/>
          <w:lang w:eastAsia="en-GB"/>
        </w:rPr>
        <w:t xml:space="preserve"> </w:t>
      </w:r>
    </w:p>
    <w:p w14:paraId="2A913B40" w14:textId="1529CCD8" w:rsidR="00506EFF" w:rsidRPr="00F24B49" w:rsidRDefault="00506EFF" w:rsidP="00F24B49">
      <w:pPr>
        <w:ind w:left="720"/>
        <w:rPr>
          <w:rFonts w:ascii="Calibri" w:hAnsi="Calibri"/>
        </w:rPr>
      </w:pPr>
      <w:r w:rsidRPr="006D4AB3">
        <w:rPr>
          <w:rFonts w:ascii="Calibri" w:hAnsi="Calibri"/>
        </w:rPr>
        <w:t>50% of older people admitted to hospital are undernourished, significantly increasing the length, cost, and probability of recovery.</w:t>
      </w:r>
      <w:r w:rsidRPr="006D4AB3">
        <w:rPr>
          <w:rStyle w:val="EndnoteReference"/>
          <w:rFonts w:ascii="Calibri" w:hAnsi="Calibri"/>
        </w:rPr>
        <w:endnoteReference w:id="61"/>
      </w:r>
      <w:r w:rsidRPr="006D4AB3">
        <w:rPr>
          <w:rFonts w:ascii="Calibri" w:hAnsi="Calibri"/>
        </w:rPr>
        <w:t xml:space="preserve"> The cost of malnutrition in the UK </w:t>
      </w:r>
      <w:r w:rsidR="0086200C">
        <w:rPr>
          <w:rFonts w:ascii="Calibri" w:hAnsi="Calibri"/>
        </w:rPr>
        <w:t>is</w:t>
      </w:r>
      <w:r w:rsidRPr="006D4AB3">
        <w:rPr>
          <w:rFonts w:ascii="Calibri" w:hAnsi="Calibri"/>
        </w:rPr>
        <w:t xml:space="preserve"> estimated in excess of £13bn a year.</w:t>
      </w:r>
      <w:r w:rsidRPr="006D4AB3">
        <w:rPr>
          <w:rStyle w:val="EndnoteReference"/>
          <w:rFonts w:ascii="Calibri" w:hAnsi="Calibri"/>
        </w:rPr>
        <w:endnoteReference w:id="62"/>
      </w:r>
      <w:r w:rsidR="00F24B49">
        <w:rPr>
          <w:rFonts w:ascii="Calibri" w:hAnsi="Calibri"/>
        </w:rPr>
        <w:br/>
      </w:r>
    </w:p>
    <w:p w14:paraId="209AD274" w14:textId="4BBB4F5A" w:rsidR="00506EFF" w:rsidRPr="006D4AB3" w:rsidRDefault="00506EFF" w:rsidP="00426634">
      <w:pPr>
        <w:ind w:left="2160" w:hanging="2160"/>
        <w:rPr>
          <w:rFonts w:ascii="Calibri" w:hAnsi="Calibri"/>
        </w:rPr>
      </w:pPr>
      <w:r w:rsidRPr="006D4AB3">
        <w:rPr>
          <w:rFonts w:ascii="Calibri" w:hAnsi="Calibri"/>
          <w:b/>
        </w:rPr>
        <w:t xml:space="preserve">Recommendation </w:t>
      </w:r>
      <w:r w:rsidR="008970A3" w:rsidRPr="006D4AB3">
        <w:rPr>
          <w:rFonts w:ascii="Calibri" w:hAnsi="Calibri"/>
          <w:b/>
        </w:rPr>
        <w:t>5</w:t>
      </w:r>
      <w:r w:rsidRPr="006D4AB3">
        <w:rPr>
          <w:rFonts w:ascii="Calibri" w:hAnsi="Calibri"/>
        </w:rPr>
        <w:t>:</w:t>
      </w:r>
      <w:r w:rsidRPr="006D4AB3">
        <w:rPr>
          <w:rFonts w:ascii="Calibri" w:hAnsi="Calibri"/>
        </w:rPr>
        <w:tab/>
        <w:t>Provide statutory protection and guidance on pricing and nutrition to community food or ‘meals on wheels’ services for people unab</w:t>
      </w:r>
      <w:r w:rsidR="00424713">
        <w:rPr>
          <w:rFonts w:ascii="Calibri" w:hAnsi="Calibri"/>
        </w:rPr>
        <w:t>le to independently access food. I</w:t>
      </w:r>
      <w:r w:rsidRPr="006D4AB3">
        <w:rPr>
          <w:rFonts w:ascii="Calibri" w:hAnsi="Calibri"/>
        </w:rPr>
        <w:t>ncrease the power of the care regulators to suspend non-compliant care service providers and to prevent the re-establishment of failed providers unde</w:t>
      </w:r>
      <w:r w:rsidR="007E4580">
        <w:rPr>
          <w:rFonts w:ascii="Calibri" w:hAnsi="Calibri"/>
        </w:rPr>
        <w:t xml:space="preserve">r different names without </w:t>
      </w:r>
      <w:r w:rsidRPr="006D4AB3">
        <w:rPr>
          <w:rFonts w:ascii="Calibri" w:hAnsi="Calibri"/>
        </w:rPr>
        <w:t xml:space="preserve">rigorous preliminary compliance review. </w:t>
      </w:r>
      <w:r w:rsidR="007E4580">
        <w:rPr>
          <w:rFonts w:ascii="Calibri" w:hAnsi="Calibri"/>
        </w:rPr>
        <w:t>Review care-</w:t>
      </w:r>
      <w:r w:rsidR="00424713">
        <w:rPr>
          <w:rFonts w:ascii="Calibri" w:hAnsi="Calibri"/>
        </w:rPr>
        <w:t>workers’</w:t>
      </w:r>
      <w:r w:rsidR="007E4580">
        <w:rPr>
          <w:rFonts w:ascii="Calibri" w:hAnsi="Calibri"/>
        </w:rPr>
        <w:t xml:space="preserve"> employment conditions to ensure </w:t>
      </w:r>
      <w:r w:rsidR="00424713">
        <w:rPr>
          <w:rFonts w:ascii="Calibri" w:hAnsi="Calibri"/>
        </w:rPr>
        <w:t xml:space="preserve">there is </w:t>
      </w:r>
      <w:r w:rsidR="007E4580">
        <w:rPr>
          <w:rFonts w:ascii="Calibri" w:hAnsi="Calibri"/>
        </w:rPr>
        <w:t xml:space="preserve">adequate time and training to provide care that meets </w:t>
      </w:r>
      <w:proofErr w:type="gramStart"/>
      <w:r w:rsidR="007E4580">
        <w:rPr>
          <w:rFonts w:ascii="Calibri" w:hAnsi="Calibri"/>
        </w:rPr>
        <w:t>care</w:t>
      </w:r>
      <w:proofErr w:type="gramEnd"/>
      <w:r w:rsidR="007E4580">
        <w:rPr>
          <w:rFonts w:ascii="Calibri" w:hAnsi="Calibri"/>
        </w:rPr>
        <w:t xml:space="preserve"> plan and needs.</w:t>
      </w:r>
      <w:r w:rsidRPr="006D4AB3">
        <w:rPr>
          <w:rFonts w:ascii="Calibri" w:hAnsi="Calibri"/>
        </w:rPr>
        <w:br/>
      </w:r>
    </w:p>
    <w:p w14:paraId="66F98F38" w14:textId="35AC79B4" w:rsidR="00506EFF" w:rsidRPr="00877FE4" w:rsidRDefault="003928E9" w:rsidP="00295DCC">
      <w:pPr>
        <w:ind w:firstLine="720"/>
        <w:rPr>
          <w:rFonts w:ascii="Calibri" w:hAnsi="Calibri"/>
          <w:b/>
          <w:color w:val="863AB8"/>
          <w:sz w:val="32"/>
        </w:rPr>
      </w:pPr>
      <w:r w:rsidRPr="00877FE4">
        <w:rPr>
          <w:rFonts w:ascii="Calibri" w:hAnsi="Calibri"/>
          <w:noProof/>
          <w:color w:val="863AB8"/>
          <w:lang w:val="en-US"/>
        </w:rPr>
        <mc:AlternateContent>
          <mc:Choice Requires="wps">
            <w:drawing>
              <wp:anchor distT="0" distB="0" distL="114300" distR="114300" simplePos="0" relativeHeight="251699200" behindDoc="0" locked="0" layoutInCell="1" allowOverlap="1" wp14:anchorId="3AE055D9" wp14:editId="2D91140A">
                <wp:simplePos x="0" y="0"/>
                <wp:positionH relativeFrom="margin">
                  <wp:posOffset>0</wp:posOffset>
                </wp:positionH>
                <wp:positionV relativeFrom="paragraph">
                  <wp:posOffset>23495</wp:posOffset>
                </wp:positionV>
                <wp:extent cx="0" cy="4800600"/>
                <wp:effectExtent l="0" t="0" r="25400" b="0"/>
                <wp:wrapNone/>
                <wp:docPr id="3" name="Straight Connector 3"/>
                <wp:cNvGraphicFramePr/>
                <a:graphic xmlns:a="http://schemas.openxmlformats.org/drawingml/2006/main">
                  <a:graphicData uri="http://schemas.microsoft.com/office/word/2010/wordprocessingShape">
                    <wps:wsp>
                      <wps:cNvCnPr/>
                      <wps:spPr>
                        <a:xfrm>
                          <a:off x="0" y="0"/>
                          <a:ext cx="0" cy="4800600"/>
                        </a:xfrm>
                        <a:prstGeom prst="line">
                          <a:avLst/>
                        </a:prstGeom>
                        <a:ln w="25400">
                          <a:solidFill>
                            <a:srgbClr val="722AB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61458A" id="Straight Connector 3"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5pt" to="0,3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" strokecolor="#722ab3" strokeweight="2pt">
                <v:stroke dashstyle="dash" joinstyle="miter"/>
                <w10:wrap anchorx="margin"/>
              </v:line>
            </w:pict>
          </mc:Fallback>
        </mc:AlternateContent>
      </w:r>
      <w:r w:rsidR="00506EFF" w:rsidRPr="00877FE4">
        <w:rPr>
          <w:rFonts w:ascii="Calibri" w:hAnsi="Calibri"/>
          <w:b/>
          <w:color w:val="863AB8"/>
          <w:sz w:val="32"/>
        </w:rPr>
        <w:t>Adequate</w:t>
      </w:r>
      <w:r w:rsidR="00373144" w:rsidRPr="00877FE4">
        <w:rPr>
          <w:rFonts w:ascii="Calibri" w:hAnsi="Calibri"/>
          <w:b/>
          <w:color w:val="863AB8"/>
          <w:sz w:val="32"/>
        </w:rPr>
        <w:t>:</w:t>
      </w:r>
      <w:r w:rsidR="00373144" w:rsidRPr="00877FE4">
        <w:rPr>
          <w:rFonts w:ascii="Calibri" w:hAnsi="Calibri"/>
          <w:b/>
          <w:color w:val="863AB8"/>
          <w:sz w:val="32"/>
        </w:rPr>
        <w:tab/>
      </w:r>
      <w:r w:rsidR="00506EFF" w:rsidRPr="00877FE4">
        <w:rPr>
          <w:rFonts w:ascii="Calibri" w:hAnsi="Calibri"/>
          <w:b/>
          <w:color w:val="863AB8"/>
          <w:sz w:val="32"/>
        </w:rPr>
        <w:tab/>
        <w:t>Dietary need</w:t>
      </w:r>
    </w:p>
    <w:p w14:paraId="0EF84531" w14:textId="77777777" w:rsidR="00506EFF" w:rsidRPr="006D4AB3" w:rsidRDefault="00506EFF" w:rsidP="002B5D21">
      <w:pPr>
        <w:ind w:firstLine="720"/>
        <w:rPr>
          <w:rFonts w:ascii="Calibri" w:hAnsi="Calibri"/>
          <w:i/>
        </w:rPr>
      </w:pPr>
      <w:r w:rsidRPr="006D4AB3">
        <w:rPr>
          <w:rStyle w:val="Strong"/>
          <w:rFonts w:ascii="Calibri" w:hAnsi="Calibri"/>
          <w:i/>
        </w:rPr>
        <w:t xml:space="preserve"> ‘The diets of typical British families now pose the greatest threat to their health and survival.’</w:t>
      </w:r>
      <w:r w:rsidRPr="006D4AB3">
        <w:rPr>
          <w:rStyle w:val="EndnoteReference"/>
          <w:rFonts w:ascii="Calibri" w:hAnsi="Calibri"/>
          <w:bCs/>
          <w:i/>
        </w:rPr>
        <w:endnoteReference w:id="63"/>
      </w:r>
      <w:r w:rsidRPr="006D4AB3">
        <w:rPr>
          <w:rStyle w:val="apple-converted-space"/>
          <w:rFonts w:ascii="Calibri" w:hAnsi="Calibri"/>
          <w:bCs/>
          <w:i/>
        </w:rPr>
        <w:t> </w:t>
      </w:r>
    </w:p>
    <w:p w14:paraId="65832737" w14:textId="77777777" w:rsidR="00506EFF" w:rsidRPr="006D4AB3" w:rsidRDefault="00506EFF" w:rsidP="002B5D21">
      <w:pPr>
        <w:ind w:left="720"/>
        <w:rPr>
          <w:rFonts w:ascii="Calibri" w:hAnsi="Calibri"/>
        </w:rPr>
      </w:pPr>
      <w:r w:rsidRPr="006D4AB3">
        <w:rPr>
          <w:rFonts w:ascii="Calibri" w:hAnsi="Calibri"/>
        </w:rPr>
        <w:t xml:space="preserve">Currently 2/3 adults and 1/3 </w:t>
      </w:r>
      <w:proofErr w:type="gramStart"/>
      <w:r w:rsidRPr="006D4AB3">
        <w:rPr>
          <w:rFonts w:ascii="Calibri" w:hAnsi="Calibri"/>
        </w:rPr>
        <w:t>children</w:t>
      </w:r>
      <w:proofErr w:type="gramEnd"/>
      <w:r w:rsidRPr="006D4AB3">
        <w:rPr>
          <w:rFonts w:ascii="Calibri" w:hAnsi="Calibri"/>
        </w:rPr>
        <w:t xml:space="preserve"> in the UK are overweight or obese, 3 million people are believed to be malnourished and many more are at risk of becoming malnourished.</w:t>
      </w:r>
      <w:r w:rsidRPr="006D4AB3">
        <w:rPr>
          <w:rStyle w:val="EndnoteReference"/>
          <w:rFonts w:ascii="Calibri" w:hAnsi="Calibri"/>
        </w:rPr>
        <w:endnoteReference w:id="64"/>
      </w:r>
      <w:r w:rsidRPr="006D4AB3">
        <w:rPr>
          <w:rFonts w:ascii="Calibri" w:hAnsi="Calibri"/>
        </w:rPr>
        <w:t xml:space="preserve"> UK diets consistently fail across national dietary recommendations, </w:t>
      </w:r>
      <w:r w:rsidRPr="00877FE4">
        <w:rPr>
          <w:rFonts w:ascii="Calibri" w:hAnsi="Calibri"/>
          <w:color w:val="3366FF"/>
        </w:rPr>
        <w:t>and in Scotland all of the Scottish Dietary Goals have been missed every year since</w:t>
      </w:r>
      <w:r w:rsidR="00051C18" w:rsidRPr="00877FE4">
        <w:rPr>
          <w:rFonts w:ascii="Calibri" w:hAnsi="Calibri"/>
          <w:color w:val="3366FF"/>
        </w:rPr>
        <w:t xml:space="preserve"> monitoring began in</w:t>
      </w:r>
      <w:r w:rsidRPr="00877FE4">
        <w:rPr>
          <w:rFonts w:ascii="Calibri" w:hAnsi="Calibri"/>
          <w:color w:val="3366FF"/>
        </w:rPr>
        <w:t xml:space="preserve"> 2001.</w:t>
      </w:r>
      <w:r w:rsidRPr="00877FE4">
        <w:rPr>
          <w:rStyle w:val="EndnoteReference"/>
          <w:rFonts w:ascii="Calibri" w:hAnsi="Calibri"/>
          <w:color w:val="3366FF"/>
        </w:rPr>
        <w:endnoteReference w:id="65"/>
      </w:r>
      <w:r w:rsidRPr="006D4AB3">
        <w:rPr>
          <w:rFonts w:ascii="Calibri" w:hAnsi="Calibri"/>
        </w:rPr>
        <w:t xml:space="preserve"> The impacts of this on health, quality of life, and life expectancy are profound. The UK Government has failed to take the necessary interventions to reduce persistent dietary related health inequalities.</w:t>
      </w:r>
    </w:p>
    <w:p w14:paraId="73844E95" w14:textId="77777777" w:rsidR="00506EFF" w:rsidRPr="006D4AB3" w:rsidRDefault="00506EFF" w:rsidP="002B5D21">
      <w:pPr>
        <w:ind w:left="720"/>
        <w:rPr>
          <w:rFonts w:ascii="Calibri" w:hAnsi="Calibri"/>
        </w:rPr>
      </w:pPr>
      <w:r w:rsidRPr="006D4AB3">
        <w:rPr>
          <w:rFonts w:ascii="Calibri" w:hAnsi="Calibri"/>
        </w:rPr>
        <w:t>When diet is assessed by reference to socio-economic background, all income-deciles fail to meet all dietary recommendations. However there is a clear margin of difference; people in the lowest income-deciles have the poorest diets – people with low incomes eat less fruit, vegetables, fibre and oily fish, but much more sugar than people with higher incomes.</w:t>
      </w:r>
      <w:r w:rsidRPr="006D4AB3">
        <w:rPr>
          <w:rStyle w:val="EndnoteReference"/>
          <w:rFonts w:ascii="Calibri" w:hAnsi="Calibri"/>
        </w:rPr>
        <w:endnoteReference w:id="66"/>
      </w:r>
      <w:r w:rsidRPr="006D4AB3">
        <w:rPr>
          <w:rFonts w:ascii="Calibri" w:hAnsi="Calibri"/>
        </w:rPr>
        <w:t xml:space="preserve"> </w:t>
      </w:r>
    </w:p>
    <w:p w14:paraId="35C78FA8" w14:textId="7AB9AF30" w:rsidR="00506EFF" w:rsidRPr="006D4AB3" w:rsidRDefault="00506EFF" w:rsidP="002B5D21">
      <w:pPr>
        <w:ind w:left="720"/>
        <w:rPr>
          <w:rFonts w:ascii="Calibri" w:hAnsi="Calibri"/>
        </w:rPr>
      </w:pPr>
      <w:r w:rsidRPr="006D4AB3">
        <w:rPr>
          <w:rFonts w:ascii="Calibri" w:hAnsi="Calibri"/>
        </w:rPr>
        <w:t>The impact of poor nutrition on health includes increased risk of coronary heart disease and stroke, high blood pressure, type</w:t>
      </w:r>
      <w:r w:rsidR="00051C18" w:rsidRPr="006D4AB3">
        <w:rPr>
          <w:rFonts w:ascii="Calibri" w:hAnsi="Calibri"/>
        </w:rPr>
        <w:t xml:space="preserve"> 2 diabetes, dental decay, and is associated with a third </w:t>
      </w:r>
      <w:r w:rsidRPr="006D4AB3">
        <w:rPr>
          <w:rFonts w:ascii="Calibri" w:hAnsi="Calibri"/>
        </w:rPr>
        <w:t>of cancers.</w:t>
      </w:r>
      <w:r w:rsidRPr="006D4AB3">
        <w:rPr>
          <w:rStyle w:val="EndnoteReference"/>
          <w:rFonts w:ascii="Calibri" w:hAnsi="Calibri"/>
        </w:rPr>
        <w:endnoteReference w:id="67"/>
      </w:r>
      <w:r w:rsidRPr="006D4AB3">
        <w:rPr>
          <w:rFonts w:ascii="Calibri" w:hAnsi="Calibri"/>
        </w:rPr>
        <w:t xml:space="preserve"> Diet-related health inequalities significantly affect both quality of life and life expectancy.</w:t>
      </w:r>
      <w:r w:rsidRPr="006D4AB3">
        <w:rPr>
          <w:rStyle w:val="EndnoteReference"/>
          <w:rFonts w:ascii="Calibri" w:hAnsi="Calibri"/>
        </w:rPr>
        <w:endnoteReference w:id="68"/>
      </w:r>
      <w:r w:rsidRPr="006D4AB3">
        <w:rPr>
          <w:rFonts w:ascii="Calibri" w:hAnsi="Calibri"/>
        </w:rPr>
        <w:t xml:space="preserve"> Poor diet is related to 30% of life years lost in early death and disability, and </w:t>
      </w:r>
      <w:r w:rsidR="00615BD1" w:rsidRPr="006D4AB3">
        <w:rPr>
          <w:rFonts w:ascii="Calibri" w:hAnsi="Calibri"/>
        </w:rPr>
        <w:t>people with lower incomes</w:t>
      </w:r>
      <w:r w:rsidR="00615BD1">
        <w:rPr>
          <w:rFonts w:ascii="Calibri" w:hAnsi="Calibri"/>
        </w:rPr>
        <w:t xml:space="preserve"> are disproportionately impacted.</w:t>
      </w:r>
      <w:r w:rsidRPr="006D4AB3">
        <w:rPr>
          <w:rStyle w:val="EndnoteReference"/>
          <w:rFonts w:ascii="Calibri" w:hAnsi="Calibri"/>
        </w:rPr>
        <w:endnoteReference w:id="69"/>
      </w:r>
    </w:p>
    <w:p w14:paraId="43DEFEAA" w14:textId="77777777" w:rsidR="00506EFF" w:rsidRPr="006D4AB3" w:rsidRDefault="00506EFF" w:rsidP="002B5D21">
      <w:pPr>
        <w:ind w:left="720"/>
        <w:rPr>
          <w:rFonts w:ascii="Calibri" w:hAnsi="Calibri"/>
        </w:rPr>
      </w:pPr>
      <w:r w:rsidRPr="006D4AB3">
        <w:rPr>
          <w:rFonts w:ascii="Calibri" w:hAnsi="Calibri"/>
        </w:rPr>
        <w:t xml:space="preserve">The crux of the problem is that </w:t>
      </w:r>
      <w:r w:rsidR="00051C18" w:rsidRPr="006D4AB3">
        <w:rPr>
          <w:rFonts w:ascii="Calibri" w:hAnsi="Calibri"/>
        </w:rPr>
        <w:t>healthier</w:t>
      </w:r>
      <w:r w:rsidRPr="006D4AB3">
        <w:rPr>
          <w:rFonts w:ascii="Calibri" w:hAnsi="Calibri"/>
        </w:rPr>
        <w:t xml:space="preserve"> food</w:t>
      </w:r>
      <w:r w:rsidR="00051C18" w:rsidRPr="006D4AB3">
        <w:rPr>
          <w:rFonts w:ascii="Calibri" w:hAnsi="Calibri"/>
        </w:rPr>
        <w:t>s</w:t>
      </w:r>
      <w:r w:rsidRPr="006D4AB3">
        <w:rPr>
          <w:rFonts w:ascii="Calibri" w:hAnsi="Calibri"/>
        </w:rPr>
        <w:t>, particularly raw ingredients are on average three times more expensive than processed foods high in sugar, salt, and fat.</w:t>
      </w:r>
      <w:r w:rsidRPr="006D4AB3">
        <w:rPr>
          <w:rStyle w:val="EndnoteReference"/>
          <w:rFonts w:ascii="Calibri" w:hAnsi="Calibri"/>
        </w:rPr>
        <w:endnoteReference w:id="70"/>
      </w:r>
      <w:r w:rsidRPr="006D4AB3">
        <w:rPr>
          <w:rFonts w:ascii="Calibri" w:hAnsi="Calibri"/>
        </w:rPr>
        <w:t xml:space="preserve"> Correspondingly, studies of purchasing habits have consistently found that price is the most important factor in food choices.</w:t>
      </w:r>
      <w:r w:rsidRPr="006D4AB3">
        <w:rPr>
          <w:rStyle w:val="EndnoteReference"/>
          <w:rFonts w:ascii="Calibri" w:hAnsi="Calibri"/>
        </w:rPr>
        <w:endnoteReference w:id="71"/>
      </w:r>
      <w:r w:rsidRPr="006D4AB3">
        <w:rPr>
          <w:rFonts w:ascii="Calibri" w:hAnsi="Calibri"/>
        </w:rPr>
        <w:t xml:space="preserve"> Despite this clear trend, government action has focused overwhelmingly on education for behaviour change, with almost no regulatory or fiscal intervention to alter the broader food environment. </w:t>
      </w:r>
    </w:p>
    <w:p w14:paraId="5CDCA968" w14:textId="544072CC" w:rsidR="00506EFF" w:rsidRPr="006D4AB3" w:rsidRDefault="003928E9" w:rsidP="004105F2">
      <w:pPr>
        <w:ind w:left="720"/>
        <w:rPr>
          <w:rFonts w:ascii="Calibri" w:hAnsi="Calibri"/>
        </w:rPr>
      </w:pPr>
      <w:r w:rsidRPr="00877FE4">
        <w:rPr>
          <w:rFonts w:ascii="Calibri" w:hAnsi="Calibri"/>
          <w:noProof/>
          <w:color w:val="863AB8"/>
          <w:lang w:val="en-US"/>
        </w:rPr>
        <w:lastRenderedPageBreak/>
        <mc:AlternateContent>
          <mc:Choice Requires="wps">
            <w:drawing>
              <wp:anchor distT="0" distB="0" distL="114300" distR="114300" simplePos="0" relativeHeight="251678720" behindDoc="0" locked="0" layoutInCell="1" allowOverlap="1" wp14:anchorId="5835BC45" wp14:editId="4EF85AEB">
                <wp:simplePos x="0" y="0"/>
                <wp:positionH relativeFrom="margin">
                  <wp:align>left</wp:align>
                </wp:positionH>
                <wp:positionV relativeFrom="paragraph">
                  <wp:posOffset>9450</wp:posOffset>
                </wp:positionV>
                <wp:extent cx="0" cy="9135110"/>
                <wp:effectExtent l="0" t="0" r="25400" b="34290"/>
                <wp:wrapNone/>
                <wp:docPr id="13" name="Straight Connector 13"/>
                <wp:cNvGraphicFramePr/>
                <a:graphic xmlns:a="http://schemas.openxmlformats.org/drawingml/2006/main">
                  <a:graphicData uri="http://schemas.microsoft.com/office/word/2010/wordprocessingShape">
                    <wps:wsp>
                      <wps:cNvCnPr/>
                      <wps:spPr>
                        <a:xfrm>
                          <a:off x="0" y="0"/>
                          <a:ext cx="0" cy="9135110"/>
                        </a:xfrm>
                        <a:prstGeom prst="line">
                          <a:avLst/>
                        </a:prstGeom>
                        <a:ln w="25400">
                          <a:solidFill>
                            <a:srgbClr val="722AB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5B4400" id="Straight Connector 13"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0,7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" strokecolor="#722ab3" strokeweight="2pt">
                <v:stroke dashstyle="dash" joinstyle="miter"/>
                <w10:wrap anchorx="margin"/>
              </v:line>
            </w:pict>
          </mc:Fallback>
        </mc:AlternateContent>
      </w:r>
      <w:r w:rsidR="00506EFF" w:rsidRPr="006D4AB3">
        <w:rPr>
          <w:rFonts w:ascii="Calibri" w:hAnsi="Calibri"/>
          <w:b/>
          <w:i/>
        </w:rPr>
        <w:t>‘The environmental drivers of poor diets we face are just too big</w:t>
      </w:r>
      <w:r w:rsidR="00506EFF" w:rsidRPr="006D4AB3">
        <w:rPr>
          <w:rFonts w:ascii="Calibri" w:hAnsi="Calibri"/>
          <w:b/>
        </w:rPr>
        <w:t>.’</w:t>
      </w:r>
      <w:r w:rsidR="00506EFF" w:rsidRPr="006D4AB3">
        <w:rPr>
          <w:rStyle w:val="EndnoteReference"/>
          <w:rFonts w:ascii="Calibri" w:hAnsi="Calibri"/>
        </w:rPr>
        <w:endnoteReference w:id="72"/>
      </w:r>
    </w:p>
    <w:p w14:paraId="7B7CDE5E" w14:textId="352176A1" w:rsidR="00506EFF" w:rsidRPr="006D4AB3" w:rsidRDefault="00506EFF" w:rsidP="000138D9">
      <w:pPr>
        <w:ind w:left="720"/>
        <w:rPr>
          <w:rFonts w:ascii="Calibri" w:hAnsi="Calibri"/>
        </w:rPr>
      </w:pPr>
      <w:r w:rsidRPr="006D4AB3">
        <w:rPr>
          <w:rFonts w:ascii="Calibri" w:hAnsi="Calibri"/>
        </w:rPr>
        <w:t xml:space="preserve">We now consider the effectiveness of measures on </w:t>
      </w:r>
      <w:r w:rsidRPr="006D4AB3">
        <w:rPr>
          <w:rFonts w:ascii="Calibri" w:hAnsi="Calibri"/>
          <w:i/>
        </w:rPr>
        <w:t>education for behaviour change</w:t>
      </w:r>
      <w:r w:rsidRPr="006D4AB3">
        <w:rPr>
          <w:rFonts w:ascii="Calibri" w:hAnsi="Calibri"/>
        </w:rPr>
        <w:t xml:space="preserve">, </w:t>
      </w:r>
      <w:r w:rsidRPr="006D4AB3">
        <w:rPr>
          <w:rFonts w:ascii="Calibri" w:hAnsi="Calibri"/>
          <w:i/>
        </w:rPr>
        <w:t>fiscal intervention</w:t>
      </w:r>
      <w:r w:rsidRPr="006D4AB3">
        <w:rPr>
          <w:rFonts w:ascii="Calibri" w:hAnsi="Calibri"/>
        </w:rPr>
        <w:t xml:space="preserve">, </w:t>
      </w:r>
      <w:r w:rsidRPr="006D4AB3">
        <w:rPr>
          <w:rFonts w:ascii="Calibri" w:hAnsi="Calibri"/>
          <w:i/>
        </w:rPr>
        <w:t>regulation of advertising and promotions</w:t>
      </w:r>
      <w:r w:rsidRPr="006D4AB3">
        <w:rPr>
          <w:rFonts w:ascii="Calibri" w:hAnsi="Calibri"/>
        </w:rPr>
        <w:t xml:space="preserve">, </w:t>
      </w:r>
      <w:r w:rsidRPr="006D4AB3">
        <w:rPr>
          <w:rFonts w:ascii="Calibri" w:hAnsi="Calibri"/>
          <w:i/>
        </w:rPr>
        <w:t>planning and land-use</w:t>
      </w:r>
      <w:r w:rsidRPr="006D4AB3">
        <w:rPr>
          <w:rFonts w:ascii="Calibri" w:hAnsi="Calibri"/>
        </w:rPr>
        <w:t xml:space="preserve">, and </w:t>
      </w:r>
      <w:r w:rsidRPr="006D4AB3">
        <w:rPr>
          <w:rFonts w:ascii="Calibri" w:hAnsi="Calibri"/>
          <w:i/>
        </w:rPr>
        <w:t>schools, hospitals, and care</w:t>
      </w:r>
      <w:r w:rsidRPr="006D4AB3">
        <w:rPr>
          <w:rFonts w:ascii="Calibri" w:hAnsi="Calibri"/>
        </w:rPr>
        <w:t xml:space="preserve"> </w:t>
      </w:r>
      <w:r w:rsidRPr="006D4AB3">
        <w:rPr>
          <w:rFonts w:ascii="Calibri" w:hAnsi="Calibri"/>
          <w:i/>
        </w:rPr>
        <w:t>homes</w:t>
      </w:r>
      <w:r w:rsidRPr="006D4AB3">
        <w:rPr>
          <w:rFonts w:ascii="Calibri" w:hAnsi="Calibri"/>
        </w:rPr>
        <w:t>.</w:t>
      </w:r>
      <w:r w:rsidR="000138D9">
        <w:rPr>
          <w:rFonts w:ascii="Calibri" w:hAnsi="Calibri"/>
        </w:rPr>
        <w:br/>
      </w:r>
      <w:r w:rsidR="000138D9">
        <w:rPr>
          <w:rFonts w:ascii="Calibri" w:hAnsi="Calibri"/>
        </w:rPr>
        <w:br/>
      </w:r>
      <w:r w:rsidRPr="006D4AB3">
        <w:rPr>
          <w:rFonts w:ascii="Calibri" w:hAnsi="Calibri"/>
          <w:b/>
          <w:i/>
        </w:rPr>
        <w:t>Education for behaviour change</w:t>
      </w:r>
      <w:r w:rsidRPr="006D4AB3">
        <w:rPr>
          <w:rFonts w:ascii="Calibri" w:hAnsi="Calibri"/>
        </w:rPr>
        <w:t xml:space="preserve"> is an important aspect of addressing poor diet and related health inequalities, the recently revised visual </w:t>
      </w:r>
      <w:r w:rsidRPr="006D4AB3">
        <w:rPr>
          <w:rFonts w:ascii="Calibri" w:hAnsi="Calibri"/>
          <w:i/>
        </w:rPr>
        <w:t>Eatwell Guide</w:t>
      </w:r>
      <w:r w:rsidRPr="006D4AB3">
        <w:rPr>
          <w:rFonts w:ascii="Calibri" w:hAnsi="Calibri"/>
        </w:rPr>
        <w:t xml:space="preserve">, formally </w:t>
      </w:r>
      <w:r w:rsidRPr="006D4AB3">
        <w:rPr>
          <w:rFonts w:ascii="Calibri" w:hAnsi="Calibri"/>
          <w:i/>
        </w:rPr>
        <w:t>Eatwell Plate</w:t>
      </w:r>
      <w:r w:rsidRPr="006D4AB3">
        <w:rPr>
          <w:rFonts w:ascii="Calibri" w:hAnsi="Calibri"/>
        </w:rPr>
        <w:t>, has over the last 9 years raised awareness and had some impact on levels of overweight and obesity. However, people wit</w:t>
      </w:r>
      <w:r w:rsidR="00051C18" w:rsidRPr="006D4AB3">
        <w:rPr>
          <w:rFonts w:ascii="Calibri" w:hAnsi="Calibri"/>
        </w:rPr>
        <w:t>h the lowest incomes have been a</w:t>
      </w:r>
      <w:r w:rsidRPr="006D4AB3">
        <w:rPr>
          <w:rFonts w:ascii="Calibri" w:hAnsi="Calibri"/>
        </w:rPr>
        <w:t>ffected least by the messaging with levels of overweight and obesity increasing over this period.</w:t>
      </w:r>
      <w:r w:rsidRPr="006D4AB3">
        <w:rPr>
          <w:rStyle w:val="EndnoteReference"/>
          <w:rFonts w:ascii="Calibri" w:hAnsi="Calibri"/>
        </w:rPr>
        <w:endnoteReference w:id="73"/>
      </w:r>
      <w:r w:rsidRPr="006D4AB3">
        <w:rPr>
          <w:rFonts w:ascii="Calibri" w:hAnsi="Calibri"/>
        </w:rPr>
        <w:t xml:space="preserve"> </w:t>
      </w:r>
    </w:p>
    <w:p w14:paraId="006BC678" w14:textId="1FF2546A" w:rsidR="00506EFF" w:rsidRPr="006D4AB3" w:rsidRDefault="00506EFF" w:rsidP="002B5D21">
      <w:pPr>
        <w:ind w:left="720"/>
        <w:rPr>
          <w:rFonts w:ascii="Calibri" w:hAnsi="Calibri"/>
        </w:rPr>
      </w:pPr>
      <w:r w:rsidRPr="006D4AB3">
        <w:rPr>
          <w:rFonts w:ascii="Calibri" w:hAnsi="Calibri"/>
        </w:rPr>
        <w:t>There is strong evidence that education for behaviour change in the absence of real choice inhibits action. The decreased value of income together with the increased cost of living has put a significant strain on non-fixed budgets such as food and household energy.</w:t>
      </w:r>
      <w:r w:rsidRPr="006D4AB3">
        <w:rPr>
          <w:rStyle w:val="EndnoteReference"/>
          <w:rFonts w:ascii="Calibri" w:hAnsi="Calibri"/>
        </w:rPr>
        <w:endnoteReference w:id="74"/>
      </w:r>
      <w:r w:rsidRPr="006D4AB3">
        <w:rPr>
          <w:rFonts w:ascii="Calibri" w:hAnsi="Calibri"/>
        </w:rPr>
        <w:t xml:space="preserve"> This reduces choice in favour of cheaper energy-dense foods, often high in fat, sugar and salt that require minimal additional energy to prepare, over raw </w:t>
      </w:r>
      <w:r w:rsidR="00051C18" w:rsidRPr="006D4AB3">
        <w:rPr>
          <w:rFonts w:ascii="Calibri" w:hAnsi="Calibri"/>
        </w:rPr>
        <w:t>healthier</w:t>
      </w:r>
      <w:r w:rsidRPr="006D4AB3">
        <w:rPr>
          <w:rFonts w:ascii="Calibri" w:hAnsi="Calibri"/>
        </w:rPr>
        <w:t xml:space="preserve"> ingredients.</w:t>
      </w:r>
      <w:r w:rsidRPr="006D4AB3">
        <w:rPr>
          <w:rStyle w:val="EndnoteReference"/>
          <w:rFonts w:ascii="Calibri" w:hAnsi="Calibri"/>
        </w:rPr>
        <w:endnoteReference w:id="75"/>
      </w:r>
      <w:r w:rsidRPr="006D4AB3">
        <w:rPr>
          <w:rFonts w:ascii="Calibri" w:hAnsi="Calibri"/>
        </w:rPr>
        <w:t xml:space="preserve"> A significant number of people with low incomes have seen their choices completed eradicated and rely on charitable parcels from food banks. Whilst some food banks provide a nutritionally balanced parcel, this does not appear to be the norm</w:t>
      </w:r>
      <w:r w:rsidR="00461392">
        <w:rPr>
          <w:rFonts w:ascii="Calibri" w:hAnsi="Calibri"/>
        </w:rPr>
        <w:t xml:space="preserve"> – largely because of the logistical challenges of storing donations of fresh food</w:t>
      </w:r>
      <w:r w:rsidRPr="006D4AB3">
        <w:rPr>
          <w:rFonts w:ascii="Calibri" w:hAnsi="Calibri"/>
        </w:rPr>
        <w:t>.</w:t>
      </w:r>
      <w:r w:rsidRPr="006D4AB3">
        <w:rPr>
          <w:rStyle w:val="EndnoteReference"/>
          <w:rFonts w:ascii="Calibri" w:hAnsi="Calibri"/>
        </w:rPr>
        <w:endnoteReference w:id="76"/>
      </w:r>
    </w:p>
    <w:p w14:paraId="136763FB" w14:textId="297EC10C" w:rsidR="00506EFF" w:rsidRPr="006D4AB3" w:rsidRDefault="00506EFF" w:rsidP="002B5D21">
      <w:pPr>
        <w:ind w:left="720"/>
        <w:rPr>
          <w:rFonts w:ascii="Calibri" w:hAnsi="Calibri"/>
        </w:rPr>
      </w:pPr>
      <w:r w:rsidRPr="006D4AB3">
        <w:rPr>
          <w:rFonts w:ascii="Calibri" w:hAnsi="Calibri"/>
          <w:b/>
          <w:i/>
        </w:rPr>
        <w:t xml:space="preserve">Prices and fiscal intervention; </w:t>
      </w:r>
      <w:r w:rsidRPr="006D4AB3">
        <w:rPr>
          <w:rFonts w:ascii="Calibri" w:hAnsi="Calibri"/>
        </w:rPr>
        <w:t>adjusting for inflation, the real price of food in 2012 peaked at 12% higher than in 2007, though gradually decreased by 2015 to 8% above 2007 prices.</w:t>
      </w:r>
      <w:r w:rsidRPr="006D4AB3">
        <w:rPr>
          <w:rStyle w:val="EndnoteReference"/>
          <w:rFonts w:ascii="Calibri" w:hAnsi="Calibri"/>
        </w:rPr>
        <w:endnoteReference w:id="77"/>
      </w:r>
      <w:r w:rsidRPr="006D4AB3">
        <w:rPr>
          <w:rFonts w:ascii="Calibri" w:hAnsi="Calibri"/>
        </w:rPr>
        <w:t xml:space="preserve"> Households in the lowest income-decile spent 22% more on food in 2012 than 2007 but were purchasing 6% less food.</w:t>
      </w:r>
      <w:r w:rsidRPr="006D4AB3">
        <w:rPr>
          <w:rStyle w:val="EndnoteReference"/>
          <w:rFonts w:ascii="Calibri" w:hAnsi="Calibri"/>
        </w:rPr>
        <w:endnoteReference w:id="78"/>
      </w:r>
      <w:r w:rsidRPr="006D4AB3">
        <w:rPr>
          <w:rFonts w:ascii="Calibri" w:hAnsi="Calibri"/>
        </w:rPr>
        <w:t xml:space="preserve"> On average, lower income households spend at least 5% more of their income on food than the average household, and on less </w:t>
      </w:r>
      <w:r w:rsidR="00051C18" w:rsidRPr="006D4AB3">
        <w:rPr>
          <w:rFonts w:ascii="Calibri" w:hAnsi="Calibri"/>
        </w:rPr>
        <w:t>healthy</w:t>
      </w:r>
      <w:r w:rsidRPr="006D4AB3">
        <w:rPr>
          <w:rFonts w:ascii="Calibri" w:hAnsi="Calibri"/>
        </w:rPr>
        <w:t xml:space="preserve"> foods.</w:t>
      </w:r>
      <w:r w:rsidRPr="006D4AB3">
        <w:rPr>
          <w:rStyle w:val="EndnoteReference"/>
          <w:rFonts w:ascii="Calibri" w:hAnsi="Calibri"/>
        </w:rPr>
        <w:endnoteReference w:id="79"/>
      </w:r>
    </w:p>
    <w:p w14:paraId="0073499D" w14:textId="77777777" w:rsidR="00506EFF" w:rsidRPr="006D4AB3" w:rsidRDefault="00506EFF" w:rsidP="002B5D21">
      <w:pPr>
        <w:ind w:left="720"/>
        <w:rPr>
          <w:rFonts w:ascii="Calibri" w:hAnsi="Calibri"/>
        </w:rPr>
      </w:pPr>
      <w:r w:rsidRPr="006D4AB3">
        <w:rPr>
          <w:rFonts w:ascii="Calibri" w:hAnsi="Calibri"/>
        </w:rPr>
        <w:t xml:space="preserve">The Chancellor announced the introduction of a </w:t>
      </w:r>
      <w:r w:rsidRPr="006D4AB3">
        <w:rPr>
          <w:rFonts w:ascii="Calibri" w:hAnsi="Calibri"/>
          <w:i/>
        </w:rPr>
        <w:t>Sugar Levy</w:t>
      </w:r>
      <w:r w:rsidRPr="006D4AB3">
        <w:rPr>
          <w:rFonts w:ascii="Calibri" w:hAnsi="Calibri"/>
        </w:rPr>
        <w:t xml:space="preserve"> in the 2</w:t>
      </w:r>
      <w:r w:rsidR="00F64C39" w:rsidRPr="006D4AB3">
        <w:rPr>
          <w:rFonts w:ascii="Calibri" w:hAnsi="Calibri"/>
        </w:rPr>
        <w:t>016 Spring Budget. The Levy will</w:t>
      </w:r>
      <w:r w:rsidRPr="006D4AB3">
        <w:rPr>
          <w:rFonts w:ascii="Calibri" w:hAnsi="Calibri"/>
        </w:rPr>
        <w:t xml:space="preserve"> apply to sugar-sweetened soft drinks from April 2018, with estimated revenue of £520mn in the first year redistributed to school sports in England, and unrestricted funds to devolved administrations. Healthcare professionals have long advocated that a tax on sugary drinks is an important aspect within a broader package of interventionist measure to improve dietary health, citing successes in countries that have adopted similar measures.</w:t>
      </w:r>
      <w:r w:rsidRPr="006D4AB3">
        <w:rPr>
          <w:rStyle w:val="EndnoteReference"/>
          <w:rFonts w:ascii="Calibri" w:hAnsi="Calibri"/>
        </w:rPr>
        <w:endnoteReference w:id="80"/>
      </w:r>
      <w:r w:rsidRPr="006D4AB3">
        <w:rPr>
          <w:rFonts w:ascii="Calibri" w:hAnsi="Calibri"/>
        </w:rPr>
        <w:t xml:space="preserve"> Rather than the 20% tax favoured by </w:t>
      </w:r>
      <w:r w:rsidR="00F64C39" w:rsidRPr="006D4AB3">
        <w:rPr>
          <w:rFonts w:ascii="Calibri" w:hAnsi="Calibri"/>
        </w:rPr>
        <w:t>proponents</w:t>
      </w:r>
      <w:r w:rsidRPr="006D4AB3">
        <w:rPr>
          <w:rFonts w:ascii="Calibri" w:hAnsi="Calibri"/>
        </w:rPr>
        <w:t xml:space="preserve">, the </w:t>
      </w:r>
      <w:r w:rsidRPr="006D4AB3">
        <w:rPr>
          <w:rFonts w:ascii="Calibri" w:hAnsi="Calibri"/>
          <w:i/>
        </w:rPr>
        <w:t>Sugar Levy</w:t>
      </w:r>
      <w:r w:rsidRPr="006D4AB3">
        <w:rPr>
          <w:rFonts w:ascii="Calibri" w:hAnsi="Calibri"/>
        </w:rPr>
        <w:t xml:space="preserve"> is closer to a 10% tax based on a two-tiered approach of 1.8p per 100ml for drinks with over 5g per 100ml and 2.4p per 100ml for drinks with over 8g per 100ml.</w:t>
      </w:r>
      <w:r w:rsidRPr="006D4AB3">
        <w:rPr>
          <w:rStyle w:val="EndnoteReference"/>
          <w:rFonts w:ascii="Calibri" w:hAnsi="Calibri"/>
        </w:rPr>
        <w:endnoteReference w:id="81"/>
      </w:r>
    </w:p>
    <w:p w14:paraId="3A74DAA3" w14:textId="3BF27CD5" w:rsidR="00506EFF" w:rsidRPr="000138D9" w:rsidRDefault="00506EFF" w:rsidP="000138D9">
      <w:pPr>
        <w:ind w:left="720"/>
        <w:rPr>
          <w:rFonts w:ascii="Calibri" w:hAnsi="Calibri"/>
        </w:rPr>
      </w:pPr>
      <w:r w:rsidRPr="006D4AB3">
        <w:rPr>
          <w:rFonts w:ascii="Calibri" w:hAnsi="Calibri"/>
        </w:rPr>
        <w:t>The Office for Budget Responsibility anticipates that the cost of the tax will be passed entirely on to the consumer where manufactures choose not to reduce the sugar content of their products.</w:t>
      </w:r>
      <w:r w:rsidRPr="006D4AB3">
        <w:rPr>
          <w:rStyle w:val="EndnoteReference"/>
          <w:rFonts w:ascii="Calibri" w:hAnsi="Calibri"/>
        </w:rPr>
        <w:endnoteReference w:id="82"/>
      </w:r>
      <w:r w:rsidRPr="006D4AB3">
        <w:rPr>
          <w:rFonts w:ascii="Calibri" w:hAnsi="Calibri"/>
        </w:rPr>
        <w:t xml:space="preserve"> Whilst this is likely to have the effect of raising the cost of high sugar soft drinks to the consumer, impacting more on people with lower incomes with high sugary drinks intake, it fundamentally</w:t>
      </w:r>
      <w:r w:rsidRPr="006D4AB3">
        <w:rPr>
          <w:rFonts w:ascii="Calibri" w:hAnsi="Calibri"/>
          <w:b/>
        </w:rPr>
        <w:t xml:space="preserve"> does nothing to bring down the cost of </w:t>
      </w:r>
      <w:r w:rsidR="00051C18" w:rsidRPr="006D4AB3">
        <w:rPr>
          <w:rFonts w:ascii="Calibri" w:hAnsi="Calibri"/>
          <w:b/>
        </w:rPr>
        <w:t>healthier</w:t>
      </w:r>
      <w:r w:rsidRPr="006D4AB3">
        <w:rPr>
          <w:rFonts w:ascii="Calibri" w:hAnsi="Calibri"/>
          <w:b/>
        </w:rPr>
        <w:t xml:space="preserve"> foods</w:t>
      </w:r>
      <w:r w:rsidRPr="006D4AB3">
        <w:rPr>
          <w:rFonts w:ascii="Calibri" w:hAnsi="Calibri"/>
        </w:rPr>
        <w:t>.</w:t>
      </w:r>
      <w:r w:rsidR="000138D9">
        <w:rPr>
          <w:rFonts w:ascii="Calibri" w:hAnsi="Calibri"/>
        </w:rPr>
        <w:br/>
      </w:r>
      <w:r w:rsidR="000138D9">
        <w:rPr>
          <w:rFonts w:ascii="Calibri" w:hAnsi="Calibri"/>
        </w:rPr>
        <w:br/>
      </w:r>
      <w:r w:rsidRPr="006D4AB3">
        <w:rPr>
          <w:rFonts w:ascii="Calibri" w:hAnsi="Calibri"/>
          <w:b/>
          <w:i/>
        </w:rPr>
        <w:t>Regulation of advertising and promotions</w:t>
      </w:r>
      <w:r w:rsidRPr="006D4AB3">
        <w:rPr>
          <w:rFonts w:ascii="Calibri" w:hAnsi="Calibri"/>
        </w:rPr>
        <w:t>; advertising is heavily skewed towards unhealthy foods – 60% of food adverting is of convenience foods and confectionary, whilst fruit, vegetables and pasta together account for just 3%.</w:t>
      </w:r>
      <w:r w:rsidRPr="006D4AB3">
        <w:rPr>
          <w:rStyle w:val="EndnoteReference"/>
          <w:rFonts w:ascii="Calibri" w:hAnsi="Calibri"/>
        </w:rPr>
        <w:endnoteReference w:id="83"/>
      </w:r>
      <w:r w:rsidRPr="006D4AB3">
        <w:rPr>
          <w:rFonts w:ascii="Calibri" w:hAnsi="Calibri"/>
        </w:rPr>
        <w:t xml:space="preserve"> There are two important regulations on the advertising of food to children however both have significant limitations. Firstly, the </w:t>
      </w:r>
      <w:r w:rsidRPr="006D4AB3">
        <w:rPr>
          <w:rFonts w:ascii="Calibri" w:hAnsi="Calibri"/>
          <w:i/>
        </w:rPr>
        <w:t>UK Code of Broadcast Advertising</w:t>
      </w:r>
      <w:r w:rsidRPr="006D4AB3">
        <w:rPr>
          <w:rStyle w:val="EndnoteReference"/>
          <w:rFonts w:ascii="Calibri" w:hAnsi="Calibri"/>
        </w:rPr>
        <w:endnoteReference w:id="84"/>
      </w:r>
      <w:r w:rsidRPr="006D4AB3">
        <w:rPr>
          <w:rFonts w:ascii="Calibri" w:hAnsi="Calibri"/>
        </w:rPr>
        <w:t xml:space="preserve"> prohibits the advertising products high in fat, sugar or salt during programmes commissioned for children, but fails to address the fact that 71% of children’s viewing is outside children’s air time.</w:t>
      </w:r>
      <w:r w:rsidRPr="006D4AB3">
        <w:rPr>
          <w:rStyle w:val="EndnoteReference"/>
          <w:rFonts w:ascii="Calibri" w:hAnsi="Calibri"/>
        </w:rPr>
        <w:endnoteReference w:id="85"/>
      </w:r>
      <w:r w:rsidRPr="006D4AB3">
        <w:rPr>
          <w:rFonts w:ascii="Calibri" w:hAnsi="Calibri"/>
        </w:rPr>
        <w:t xml:space="preserve"> </w:t>
      </w:r>
      <w:r w:rsidRPr="006D4AB3">
        <w:rPr>
          <w:rFonts w:ascii="Calibri" w:hAnsi="Calibri"/>
        </w:rPr>
        <w:br/>
        <w:t xml:space="preserve">Secondly, the </w:t>
      </w:r>
      <w:r w:rsidRPr="006D4AB3">
        <w:rPr>
          <w:rFonts w:ascii="Calibri" w:hAnsi="Calibri"/>
          <w:i/>
        </w:rPr>
        <w:t>UK Code of Non-broadcast Advertising, Sales Promotion and Direct Marketing</w:t>
      </w:r>
      <w:r w:rsidRPr="006D4AB3">
        <w:rPr>
          <w:rStyle w:val="EndnoteReference"/>
          <w:rFonts w:ascii="Calibri" w:hAnsi="Calibri"/>
        </w:rPr>
        <w:endnoteReference w:id="86"/>
      </w:r>
      <w:r w:rsidRPr="006D4AB3">
        <w:rPr>
          <w:rFonts w:ascii="Calibri" w:hAnsi="Calibri"/>
        </w:rPr>
        <w:t xml:space="preserve"> requires that marketing communications ‘must not condone or encourage poor nutritional habits or an unhealthy lifestyle in children’ but fails to define poor nutritional habits or an unhealthy lifestyle. This means that in </w:t>
      </w:r>
      <w:r w:rsidRPr="006D4AB3">
        <w:rPr>
          <w:rFonts w:ascii="Calibri" w:hAnsi="Calibri"/>
        </w:rPr>
        <w:lastRenderedPageBreak/>
        <w:t xml:space="preserve">practice manufacturers of foods high in fat, sugar or salt have been able to market their products through sponsorship of events which promote a healthy lifestyle, for example Coca Cola’s sponsorship of the Special Olympics for children and adults with learning </w:t>
      </w:r>
      <w:r w:rsidR="001A3D3C" w:rsidRPr="006D4AB3">
        <w:rPr>
          <w:rFonts w:ascii="Calibri" w:hAnsi="Calibri"/>
        </w:rPr>
        <w:t>disability</w:t>
      </w:r>
      <w:r w:rsidRPr="006D4AB3">
        <w:rPr>
          <w:rFonts w:ascii="Calibri" w:hAnsi="Calibri"/>
        </w:rPr>
        <w:t>.</w:t>
      </w:r>
      <w:r w:rsidRPr="006D4AB3">
        <w:rPr>
          <w:rStyle w:val="EndnoteReference"/>
          <w:rFonts w:ascii="Calibri" w:hAnsi="Calibri"/>
        </w:rPr>
        <w:endnoteReference w:id="87"/>
      </w:r>
    </w:p>
    <w:p w14:paraId="2FF47A7B" w14:textId="7EC0C225" w:rsidR="00506EFF" w:rsidRPr="006D4AB3" w:rsidRDefault="003928E9" w:rsidP="002B5D21">
      <w:pPr>
        <w:ind w:left="720"/>
        <w:rPr>
          <w:rFonts w:ascii="Calibri" w:hAnsi="Calibri"/>
        </w:rPr>
      </w:pPr>
      <w:r w:rsidRPr="006D4AB3">
        <w:rPr>
          <w:rFonts w:ascii="Calibri" w:hAnsi="Calibri"/>
          <w:noProof/>
          <w:color w:val="FF0000"/>
          <w:lang w:val="en-US"/>
        </w:rPr>
        <mc:AlternateContent>
          <mc:Choice Requires="wps">
            <w:drawing>
              <wp:anchor distT="0" distB="0" distL="114300" distR="114300" simplePos="0" relativeHeight="251682816" behindDoc="0" locked="0" layoutInCell="1" allowOverlap="1" wp14:anchorId="1867A30C" wp14:editId="33F30495">
                <wp:simplePos x="0" y="0"/>
                <wp:positionH relativeFrom="leftMargin">
                  <wp:posOffset>540385</wp:posOffset>
                </wp:positionH>
                <wp:positionV relativeFrom="paragraph">
                  <wp:posOffset>-469900</wp:posOffset>
                </wp:positionV>
                <wp:extent cx="0" cy="9029700"/>
                <wp:effectExtent l="0" t="0" r="25400" b="0"/>
                <wp:wrapNone/>
                <wp:docPr id="15" name="Straight Connector 15"/>
                <wp:cNvGraphicFramePr/>
                <a:graphic xmlns:a="http://schemas.openxmlformats.org/drawingml/2006/main">
                  <a:graphicData uri="http://schemas.microsoft.com/office/word/2010/wordprocessingShape">
                    <wps:wsp>
                      <wps:cNvCnPr/>
                      <wps:spPr>
                        <a:xfrm>
                          <a:off x="0" y="0"/>
                          <a:ext cx="0" cy="9029700"/>
                        </a:xfrm>
                        <a:prstGeom prst="line">
                          <a:avLst/>
                        </a:prstGeom>
                        <a:ln w="25400">
                          <a:solidFill>
                            <a:srgbClr val="722AB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5pt,-36.95pt" to="42.55pt,67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" strokecolor="#722ab3" strokeweight="2pt">
                <v:stroke dashstyle="dash" joinstyle="miter"/>
                <w10:wrap anchorx="margin"/>
              </v:line>
            </w:pict>
          </mc:Fallback>
        </mc:AlternateContent>
      </w:r>
      <w:r w:rsidR="00506EFF" w:rsidRPr="006D4AB3">
        <w:rPr>
          <w:rFonts w:ascii="Calibri" w:hAnsi="Calibri"/>
        </w:rPr>
        <w:t>40% of food and drink expenditure in the UK is on goods on promotion, the highest in Europe.</w:t>
      </w:r>
      <w:r w:rsidR="00506EFF" w:rsidRPr="006D4AB3">
        <w:rPr>
          <w:rStyle w:val="EndnoteReference"/>
          <w:rFonts w:ascii="Calibri" w:hAnsi="Calibri"/>
        </w:rPr>
        <w:endnoteReference w:id="88"/>
      </w:r>
      <w:r w:rsidR="00506EFF" w:rsidRPr="006D4AB3">
        <w:rPr>
          <w:rFonts w:ascii="Calibri" w:hAnsi="Calibri"/>
        </w:rPr>
        <w:t xml:space="preserve"> Supermarkets tend to promote more foods high in fat, sugar and salt than healthier foods.</w:t>
      </w:r>
      <w:r w:rsidR="00506EFF" w:rsidRPr="006D4AB3">
        <w:rPr>
          <w:rStyle w:val="EndnoteReference"/>
          <w:rFonts w:ascii="Calibri" w:hAnsi="Calibri"/>
        </w:rPr>
        <w:endnoteReference w:id="89"/>
      </w:r>
      <w:r w:rsidR="00506EFF" w:rsidRPr="006D4AB3">
        <w:rPr>
          <w:rFonts w:ascii="Calibri" w:hAnsi="Calibri"/>
        </w:rPr>
        <w:t xml:space="preserve"> This is reflected in purchasing habits; people buy more promotional non-perishable less-healthy foods than promotional healthy foods.</w:t>
      </w:r>
      <w:r w:rsidR="00506EFF" w:rsidRPr="006D4AB3">
        <w:rPr>
          <w:rStyle w:val="EndnoteReference"/>
          <w:rFonts w:ascii="Calibri" w:hAnsi="Calibri"/>
        </w:rPr>
        <w:endnoteReference w:id="90"/>
      </w:r>
      <w:r w:rsidR="00506EFF" w:rsidRPr="006D4AB3">
        <w:rPr>
          <w:rFonts w:ascii="Calibri" w:hAnsi="Calibri"/>
        </w:rPr>
        <w:t xml:space="preserve"> In the absence of government regulation limiting the promotion of foods high in fat, sugar and salt this trend is unlikely to change.</w:t>
      </w:r>
      <w:r w:rsidR="00506EFF" w:rsidRPr="006D4AB3">
        <w:rPr>
          <w:rStyle w:val="EndnoteReference"/>
          <w:rFonts w:ascii="Calibri" w:hAnsi="Calibri"/>
        </w:rPr>
        <w:endnoteReference w:id="91"/>
      </w:r>
      <w:r w:rsidR="00506EFF" w:rsidRPr="006D4AB3">
        <w:rPr>
          <w:rFonts w:ascii="Calibri" w:hAnsi="Calibri"/>
        </w:rPr>
        <w:t xml:space="preserve"> </w:t>
      </w:r>
      <w:r w:rsidR="00506EFF" w:rsidRPr="00877FE4">
        <w:rPr>
          <w:rFonts w:ascii="Calibri" w:hAnsi="Calibri"/>
          <w:color w:val="3366FF"/>
        </w:rPr>
        <w:t>Scotland’s ban on off-trade al</w:t>
      </w:r>
      <w:r w:rsidR="00F64C39" w:rsidRPr="00877FE4">
        <w:rPr>
          <w:rFonts w:ascii="Calibri" w:hAnsi="Calibri"/>
          <w:color w:val="3366FF"/>
        </w:rPr>
        <w:t>coholic drink promotions led</w:t>
      </w:r>
      <w:r w:rsidR="00506EFF" w:rsidRPr="00877FE4">
        <w:rPr>
          <w:rFonts w:ascii="Calibri" w:hAnsi="Calibri"/>
          <w:color w:val="3366FF"/>
        </w:rPr>
        <w:t xml:space="preserve"> to a 2.6% reduction in sales</w:t>
      </w:r>
      <w:r w:rsidR="00F64C39" w:rsidRPr="00877FE4">
        <w:rPr>
          <w:rFonts w:ascii="Calibri" w:hAnsi="Calibri"/>
          <w:color w:val="3366FF"/>
        </w:rPr>
        <w:t xml:space="preserve">, </w:t>
      </w:r>
      <w:r w:rsidR="00B764A7" w:rsidRPr="00877FE4">
        <w:rPr>
          <w:rFonts w:ascii="Calibri" w:hAnsi="Calibri"/>
          <w:color w:val="3366FF"/>
        </w:rPr>
        <w:t>highlighting</w:t>
      </w:r>
      <w:r w:rsidR="00506EFF" w:rsidRPr="00877FE4">
        <w:rPr>
          <w:rFonts w:ascii="Calibri" w:hAnsi="Calibri"/>
          <w:color w:val="3366FF"/>
        </w:rPr>
        <w:t xml:space="preserve"> the importance of regulating promotions for public health.</w:t>
      </w:r>
      <w:r w:rsidR="00506EFF" w:rsidRPr="00877FE4">
        <w:rPr>
          <w:rStyle w:val="EndnoteReference"/>
          <w:rFonts w:ascii="Calibri" w:hAnsi="Calibri"/>
          <w:color w:val="3366FF"/>
        </w:rPr>
        <w:endnoteReference w:id="92"/>
      </w:r>
      <w:r w:rsidR="00506EFF" w:rsidRPr="006D4AB3">
        <w:rPr>
          <w:rFonts w:ascii="Calibri" w:hAnsi="Calibri"/>
        </w:rPr>
        <w:t xml:space="preserve"> </w:t>
      </w:r>
    </w:p>
    <w:p w14:paraId="510B7D4D" w14:textId="77777777" w:rsidR="00506EFF" w:rsidRPr="006D4AB3" w:rsidRDefault="00506EFF" w:rsidP="002B5D21">
      <w:pPr>
        <w:ind w:left="720"/>
        <w:rPr>
          <w:rFonts w:ascii="Calibri" w:hAnsi="Calibri"/>
        </w:rPr>
      </w:pPr>
      <w:r w:rsidRPr="006D4AB3">
        <w:rPr>
          <w:rFonts w:ascii="Calibri" w:hAnsi="Calibri"/>
        </w:rPr>
        <w:t xml:space="preserve">The voluntary front of pack traffic light labelling scheme introduced as part of the </w:t>
      </w:r>
      <w:r w:rsidRPr="006D4AB3">
        <w:rPr>
          <w:rFonts w:ascii="Calibri" w:hAnsi="Calibri"/>
          <w:i/>
        </w:rPr>
        <w:t>Public Health Responsibility Deal</w:t>
      </w:r>
      <w:r w:rsidRPr="006D4AB3">
        <w:rPr>
          <w:rFonts w:ascii="Calibri" w:hAnsi="Calibri"/>
        </w:rPr>
        <w:t>, which complements mandatory EU back of pack nutritional labelling, has had considerable uptake with 75% of foods sold carrying the label.</w:t>
      </w:r>
      <w:r w:rsidRPr="006D4AB3">
        <w:rPr>
          <w:rStyle w:val="EndnoteReference"/>
          <w:rFonts w:ascii="Calibri" w:hAnsi="Calibri"/>
        </w:rPr>
        <w:endnoteReference w:id="93"/>
      </w:r>
      <w:r w:rsidRPr="006D4AB3">
        <w:rPr>
          <w:rFonts w:ascii="Calibri" w:hAnsi="Calibri"/>
        </w:rPr>
        <w:t xml:space="preserve"> However, 40% of people report the labels causing confusion. The absence of industry guidelines on portion size has led to inconsistent references across similar products, and many product groups systematically underestimate the average portion size consumed, thereby misrepresenting the realistic dietary reference intake.</w:t>
      </w:r>
      <w:r w:rsidRPr="006D4AB3">
        <w:rPr>
          <w:rStyle w:val="EndnoteReference"/>
          <w:rFonts w:ascii="Calibri" w:hAnsi="Calibri"/>
        </w:rPr>
        <w:endnoteReference w:id="94"/>
      </w:r>
      <w:r w:rsidRPr="006D4AB3">
        <w:rPr>
          <w:rFonts w:ascii="Calibri" w:hAnsi="Calibri"/>
        </w:rPr>
        <w:t xml:space="preserve"> </w:t>
      </w:r>
    </w:p>
    <w:p w14:paraId="40D2CACA" w14:textId="74E519C5" w:rsidR="00506EFF" w:rsidRPr="006D4AB3" w:rsidRDefault="00506EFF" w:rsidP="002B5D21">
      <w:pPr>
        <w:ind w:left="720"/>
        <w:rPr>
          <w:rFonts w:ascii="Calibri" w:hAnsi="Calibri"/>
          <w:b/>
          <w:i/>
        </w:rPr>
      </w:pPr>
      <w:r w:rsidRPr="006D4AB3">
        <w:rPr>
          <w:rFonts w:ascii="Calibri" w:hAnsi="Calibri"/>
          <w:b/>
          <w:i/>
        </w:rPr>
        <w:t>Planning out poverty</w:t>
      </w:r>
      <w:proofErr w:type="gramStart"/>
      <w:r w:rsidRPr="006D4AB3">
        <w:rPr>
          <w:rFonts w:ascii="Calibri" w:hAnsi="Calibri"/>
          <w:b/>
          <w:i/>
        </w:rPr>
        <w:t>;</w:t>
      </w:r>
      <w:proofErr w:type="gramEnd"/>
      <w:r w:rsidRPr="006D4AB3">
        <w:rPr>
          <w:rFonts w:ascii="Calibri" w:hAnsi="Calibri"/>
          <w:b/>
          <w:i/>
        </w:rPr>
        <w:t xml:space="preserve"> </w:t>
      </w:r>
      <w:r w:rsidRPr="006D4AB3">
        <w:rPr>
          <w:rFonts w:ascii="Calibri" w:hAnsi="Calibri"/>
        </w:rPr>
        <w:t>there is a strong correlation between geographical areas of low income, the abundance of fast food outlets, the underrepresentation of shops selling fruit and vegetables, and health inequalities.</w:t>
      </w:r>
      <w:r w:rsidRPr="006D4AB3">
        <w:rPr>
          <w:rStyle w:val="EndnoteReference"/>
          <w:rFonts w:ascii="Calibri" w:hAnsi="Calibri"/>
        </w:rPr>
        <w:endnoteReference w:id="95"/>
      </w:r>
      <w:r w:rsidRPr="006D4AB3">
        <w:rPr>
          <w:rFonts w:ascii="Calibri" w:hAnsi="Calibri"/>
        </w:rPr>
        <w:t xml:space="preserve"> Planning regulations can be used more effectively to control the ubiquity of unhealthy foods, especially in close proximity to schools, and ensure geographical access to shops selling essential healthy foods at a reasonable price.</w:t>
      </w:r>
    </w:p>
    <w:p w14:paraId="71BA7CB9" w14:textId="77777777" w:rsidR="00506EFF" w:rsidRPr="00877FE4" w:rsidRDefault="00506EFF" w:rsidP="002B5D21">
      <w:pPr>
        <w:ind w:left="720"/>
        <w:rPr>
          <w:rFonts w:ascii="Calibri" w:hAnsi="Calibri"/>
          <w:color w:val="3366FF"/>
        </w:rPr>
      </w:pPr>
      <w:r w:rsidRPr="00877FE4">
        <w:rPr>
          <w:rFonts w:ascii="Calibri" w:hAnsi="Calibri"/>
          <w:color w:val="3366FF"/>
        </w:rPr>
        <w:t xml:space="preserve">In Scotland, the </w:t>
      </w:r>
      <w:r w:rsidRPr="00877FE4">
        <w:rPr>
          <w:rFonts w:ascii="Calibri" w:hAnsi="Calibri"/>
          <w:i/>
          <w:color w:val="3366FF"/>
        </w:rPr>
        <w:t>National Planning Framework</w:t>
      </w:r>
      <w:r w:rsidRPr="00877FE4">
        <w:rPr>
          <w:rFonts w:ascii="Calibri" w:hAnsi="Calibri"/>
          <w:color w:val="3366FF"/>
        </w:rPr>
        <w:t xml:space="preserve">, the strategic vision for land use, scarcely mentions health except for in relation to the environment. The more detailed action plan, the </w:t>
      </w:r>
      <w:r w:rsidRPr="00877FE4">
        <w:rPr>
          <w:rFonts w:ascii="Calibri" w:hAnsi="Calibri"/>
          <w:i/>
          <w:color w:val="3366FF"/>
        </w:rPr>
        <w:t>Land Use Strategy</w:t>
      </w:r>
      <w:r w:rsidRPr="00877FE4">
        <w:rPr>
          <w:rFonts w:ascii="Calibri" w:hAnsi="Calibri"/>
          <w:color w:val="3366FF"/>
        </w:rPr>
        <w:t xml:space="preserve"> mentions health in the context of communities but fails to identify or challenge the barriers inequality and poverty present.</w:t>
      </w:r>
      <w:r w:rsidRPr="00877FE4">
        <w:rPr>
          <w:rStyle w:val="EndnoteReference"/>
          <w:rFonts w:ascii="Calibri" w:hAnsi="Calibri"/>
          <w:color w:val="3366FF"/>
        </w:rPr>
        <w:endnoteReference w:id="96"/>
      </w:r>
      <w:r w:rsidRPr="00877FE4">
        <w:rPr>
          <w:rFonts w:ascii="Calibri" w:hAnsi="Calibri"/>
          <w:color w:val="3366FF"/>
        </w:rPr>
        <w:t xml:space="preserve"> The Scottish Government are developing strong policy positions on poverty, inequality, and health but unless these are integrated in to spatial planning then they will</w:t>
      </w:r>
      <w:r w:rsidRPr="00877FE4">
        <w:rPr>
          <w:rFonts w:ascii="Calibri" w:hAnsi="Calibri"/>
          <w:b/>
          <w:color w:val="3366FF"/>
        </w:rPr>
        <w:t xml:space="preserve"> fail to tackle the infrastructural drivers of dietary health inequality</w:t>
      </w:r>
      <w:r w:rsidRPr="00877FE4">
        <w:rPr>
          <w:rFonts w:ascii="Calibri" w:hAnsi="Calibri"/>
          <w:color w:val="3366FF"/>
        </w:rPr>
        <w:t>.</w:t>
      </w:r>
      <w:r w:rsidRPr="00877FE4">
        <w:rPr>
          <w:rStyle w:val="EndnoteReference"/>
          <w:rFonts w:ascii="Calibri" w:hAnsi="Calibri"/>
          <w:color w:val="3366FF"/>
        </w:rPr>
        <w:endnoteReference w:id="97"/>
      </w:r>
      <w:r w:rsidRPr="00877FE4">
        <w:rPr>
          <w:rFonts w:ascii="Calibri" w:hAnsi="Calibri"/>
          <w:color w:val="3366FF"/>
        </w:rPr>
        <w:t xml:space="preserve"> </w:t>
      </w:r>
    </w:p>
    <w:p w14:paraId="1A4FC124" w14:textId="77777777" w:rsidR="00506EFF" w:rsidRPr="00877FE4" w:rsidRDefault="00506EFF" w:rsidP="002B5D21">
      <w:pPr>
        <w:ind w:left="720"/>
        <w:rPr>
          <w:rFonts w:ascii="Calibri" w:hAnsi="Calibri"/>
          <w:i/>
          <w:color w:val="3366FF"/>
        </w:rPr>
      </w:pPr>
      <w:r w:rsidRPr="00877FE4">
        <w:rPr>
          <w:rFonts w:ascii="Calibri" w:hAnsi="Calibri"/>
          <w:color w:val="3366FF"/>
        </w:rPr>
        <w:t>At a regional level, Strategic Development Plans</w:t>
      </w:r>
      <w:r w:rsidRPr="00877FE4">
        <w:rPr>
          <w:rFonts w:ascii="Calibri" w:hAnsi="Calibri"/>
          <w:i/>
          <w:color w:val="3366FF"/>
        </w:rPr>
        <w:t xml:space="preserve">, </w:t>
      </w:r>
      <w:r w:rsidRPr="00877FE4">
        <w:rPr>
          <w:rFonts w:ascii="Calibri" w:hAnsi="Calibri"/>
          <w:color w:val="3366FF"/>
        </w:rPr>
        <w:t>across Scotland’s four largest cities, could do much more beyond planning for growth to identify strategic cross-cities measures for poverty reduction.</w:t>
      </w:r>
      <w:r w:rsidRPr="00877FE4">
        <w:rPr>
          <w:rStyle w:val="EndnoteReference"/>
          <w:rFonts w:ascii="Calibri" w:hAnsi="Calibri"/>
          <w:color w:val="3366FF"/>
        </w:rPr>
        <w:endnoteReference w:id="98"/>
      </w:r>
      <w:r w:rsidRPr="00877FE4">
        <w:rPr>
          <w:rFonts w:ascii="Calibri" w:hAnsi="Calibri"/>
          <w:color w:val="3366FF"/>
        </w:rPr>
        <w:t xml:space="preserve"> At a local authority level, there is significant divergence in the approach taken in Local Development Plans to reducing poverty, with some entirely silent on this, and others adopting proactive food poverty strategies.</w:t>
      </w:r>
      <w:r w:rsidRPr="00877FE4">
        <w:rPr>
          <w:rStyle w:val="EndnoteReference"/>
          <w:rFonts w:ascii="Calibri" w:hAnsi="Calibri"/>
          <w:color w:val="3366FF"/>
        </w:rPr>
        <w:endnoteReference w:id="99"/>
      </w:r>
      <w:r w:rsidRPr="00877FE4">
        <w:rPr>
          <w:rFonts w:ascii="Calibri" w:hAnsi="Calibri"/>
          <w:color w:val="3366FF"/>
        </w:rPr>
        <w:t xml:space="preserve"> Likewise, Local Outcome Improvement Plans, formerly Single Outcome Agreements, by Community Planning </w:t>
      </w:r>
      <w:r w:rsidR="000616CB" w:rsidRPr="00877FE4">
        <w:rPr>
          <w:rFonts w:ascii="Calibri" w:hAnsi="Calibri"/>
          <w:color w:val="3366FF"/>
        </w:rPr>
        <w:t xml:space="preserve">Partnerships have a significant </w:t>
      </w:r>
      <w:r w:rsidRPr="00877FE4">
        <w:rPr>
          <w:rFonts w:ascii="Calibri" w:hAnsi="Calibri"/>
          <w:color w:val="3366FF"/>
        </w:rPr>
        <w:t>opportunity to reduce health inequalities through planning</w:t>
      </w:r>
      <w:r w:rsidR="000616CB" w:rsidRPr="00877FE4">
        <w:rPr>
          <w:rFonts w:ascii="Calibri" w:hAnsi="Calibri"/>
          <w:color w:val="3366FF"/>
        </w:rPr>
        <w:t>,</w:t>
      </w:r>
      <w:r w:rsidRPr="00877FE4">
        <w:rPr>
          <w:rFonts w:ascii="Calibri" w:hAnsi="Calibri"/>
          <w:color w:val="3366FF"/>
        </w:rPr>
        <w:t xml:space="preserve"> but without strategic guidance </w:t>
      </w:r>
      <w:r w:rsidR="000616CB" w:rsidRPr="00877FE4">
        <w:rPr>
          <w:rFonts w:ascii="Calibri" w:hAnsi="Calibri"/>
          <w:color w:val="3366FF"/>
        </w:rPr>
        <w:t>the outcomes</w:t>
      </w:r>
      <w:r w:rsidRPr="00877FE4">
        <w:rPr>
          <w:rFonts w:ascii="Calibri" w:hAnsi="Calibri"/>
          <w:color w:val="3366FF"/>
        </w:rPr>
        <w:t xml:space="preserve"> </w:t>
      </w:r>
      <w:r w:rsidR="000616CB" w:rsidRPr="00877FE4">
        <w:rPr>
          <w:rFonts w:ascii="Calibri" w:hAnsi="Calibri"/>
          <w:color w:val="3366FF"/>
        </w:rPr>
        <w:t>can be</w:t>
      </w:r>
      <w:r w:rsidRPr="00877FE4">
        <w:rPr>
          <w:rFonts w:ascii="Calibri" w:hAnsi="Calibri"/>
          <w:color w:val="3366FF"/>
        </w:rPr>
        <w:t xml:space="preserve"> inconsistent.</w:t>
      </w:r>
    </w:p>
    <w:p w14:paraId="00B14658" w14:textId="77777777" w:rsidR="00506EFF" w:rsidRPr="00877FE4" w:rsidRDefault="00506EFF" w:rsidP="002B5D21">
      <w:pPr>
        <w:ind w:left="720"/>
        <w:rPr>
          <w:rFonts w:ascii="Calibri" w:hAnsi="Calibri"/>
          <w:color w:val="3366FF"/>
        </w:rPr>
      </w:pPr>
      <w:r w:rsidRPr="00877FE4">
        <w:rPr>
          <w:rFonts w:ascii="Calibri" w:hAnsi="Calibri"/>
          <w:color w:val="3366FF"/>
        </w:rPr>
        <w:t>New duties including those stemming from the Community Empowerment Act (Scotland) 2015 will require local authorities to develop a food growing strategy. This is a positive step towards ensuring access to growing facilities, with statutory recognition of the need to ensure impact especially in areas of socioeconomic disadvantage.</w:t>
      </w:r>
      <w:r w:rsidRPr="00877FE4">
        <w:rPr>
          <w:rStyle w:val="EndnoteReference"/>
          <w:rFonts w:ascii="Calibri" w:hAnsi="Calibri"/>
          <w:color w:val="3366FF"/>
        </w:rPr>
        <w:endnoteReference w:id="100"/>
      </w:r>
      <w:r w:rsidRPr="00877FE4">
        <w:rPr>
          <w:rFonts w:ascii="Calibri" w:hAnsi="Calibri"/>
          <w:color w:val="3366FF"/>
        </w:rPr>
        <w:t xml:space="preserve"> Though the issue of </w:t>
      </w:r>
      <w:r w:rsidRPr="00877FE4">
        <w:rPr>
          <w:rFonts w:ascii="Calibri" w:hAnsi="Calibri"/>
          <w:b/>
          <w:color w:val="3366FF"/>
        </w:rPr>
        <w:t>food-market distortion in areas of multiple-deprivation still remains strategically unaddressed</w:t>
      </w:r>
      <w:r w:rsidRPr="00877FE4">
        <w:rPr>
          <w:rFonts w:ascii="Calibri" w:hAnsi="Calibri"/>
          <w:color w:val="3366FF"/>
        </w:rPr>
        <w:t>.</w:t>
      </w:r>
    </w:p>
    <w:p w14:paraId="7A4A704B" w14:textId="7F2BC7EF" w:rsidR="00506EFF" w:rsidRPr="000138D9" w:rsidRDefault="00506EFF" w:rsidP="000138D9">
      <w:pPr>
        <w:ind w:left="720"/>
        <w:rPr>
          <w:rFonts w:ascii="Calibri" w:hAnsi="Calibri"/>
          <w:color w:val="4472C4" w:themeColor="accent5"/>
        </w:rPr>
      </w:pPr>
      <w:r w:rsidRPr="006D4AB3">
        <w:rPr>
          <w:rFonts w:ascii="Calibri" w:hAnsi="Calibri"/>
        </w:rPr>
        <w:t>Looking specifically at the regulation of new fast-food developments in close proximity to schools, there has been significant difference in practice across the UK. Generally, the proximity of a fast-food outlet to schools may be a material consideration in planning decisions,</w:t>
      </w:r>
      <w:r w:rsidRPr="006D4AB3">
        <w:rPr>
          <w:rStyle w:val="EndnoteReference"/>
          <w:rFonts w:ascii="Calibri" w:hAnsi="Calibri"/>
        </w:rPr>
        <w:endnoteReference w:id="101"/>
      </w:r>
      <w:r w:rsidRPr="006D4AB3">
        <w:rPr>
          <w:rFonts w:ascii="Calibri" w:hAnsi="Calibri"/>
        </w:rPr>
        <w:t xml:space="preserve"> but the weight to be attributed to the relevance of the proximity is entirely up to the decision-maker unless the area plans provide guidance. </w:t>
      </w:r>
      <w:r w:rsidRPr="00877FE4">
        <w:rPr>
          <w:rFonts w:ascii="Calibri" w:hAnsi="Calibri"/>
          <w:color w:val="3366FF"/>
        </w:rPr>
        <w:t xml:space="preserve">A recent Scottish example of the health shortcomings of the current policy framework </w:t>
      </w:r>
      <w:r w:rsidR="00051C18" w:rsidRPr="00877FE4">
        <w:rPr>
          <w:rFonts w:ascii="Calibri" w:hAnsi="Calibri"/>
          <w:color w:val="3366FF"/>
        </w:rPr>
        <w:t>include</w:t>
      </w:r>
      <w:r w:rsidRPr="00877FE4">
        <w:rPr>
          <w:rFonts w:ascii="Calibri" w:hAnsi="Calibri"/>
          <w:color w:val="3366FF"/>
        </w:rPr>
        <w:t xml:space="preserve"> a group of snack van operators successfully challenging a local authority ban on snack vans near schools.</w:t>
      </w:r>
      <w:r w:rsidRPr="00877FE4">
        <w:rPr>
          <w:rStyle w:val="EndnoteReference"/>
          <w:rFonts w:ascii="Calibri" w:hAnsi="Calibri"/>
          <w:color w:val="3366FF"/>
        </w:rPr>
        <w:endnoteReference w:id="102"/>
      </w:r>
      <w:r w:rsidR="000138D9">
        <w:rPr>
          <w:rFonts w:ascii="Calibri" w:hAnsi="Calibri"/>
          <w:color w:val="4472C4" w:themeColor="accent5"/>
        </w:rPr>
        <w:br/>
      </w:r>
      <w:r w:rsidR="000138D9">
        <w:rPr>
          <w:rFonts w:ascii="Calibri" w:hAnsi="Calibri"/>
          <w:color w:val="4472C4" w:themeColor="accent5"/>
        </w:rPr>
        <w:lastRenderedPageBreak/>
        <w:br/>
      </w:r>
      <w:r w:rsidR="00E901FF">
        <w:rPr>
          <w:rFonts w:ascii="Calibri" w:hAnsi="Calibri"/>
          <w:b/>
          <w:i/>
        </w:rPr>
        <w:t xml:space="preserve">Schools, </w:t>
      </w:r>
      <w:r w:rsidRPr="006D4AB3">
        <w:rPr>
          <w:rFonts w:ascii="Calibri" w:hAnsi="Calibri"/>
          <w:b/>
          <w:i/>
        </w:rPr>
        <w:t xml:space="preserve">hospitals and care homes; </w:t>
      </w:r>
      <w:r w:rsidRPr="006D4AB3">
        <w:rPr>
          <w:rFonts w:ascii="Calibri" w:hAnsi="Calibri"/>
        </w:rPr>
        <w:t>present unique challenges in the vulnerability of individuals, as well as unique opportunities for dietary health improvement through personalised care. All operate as relatively closed settings enabling control over the wider food environment to move action beyond disseminating information, but they have had dramatically differing successes.</w:t>
      </w:r>
    </w:p>
    <w:p w14:paraId="14C2D879" w14:textId="0680A064" w:rsidR="00506EFF" w:rsidRPr="00877FE4" w:rsidRDefault="00F85DF7" w:rsidP="002B5D21">
      <w:pPr>
        <w:ind w:left="720"/>
        <w:rPr>
          <w:rFonts w:ascii="Calibri" w:hAnsi="Calibri"/>
          <w:color w:val="3366FF"/>
        </w:rPr>
      </w:pPr>
      <w:r w:rsidRPr="00877FE4">
        <w:rPr>
          <w:rFonts w:ascii="Calibri" w:hAnsi="Calibri"/>
          <w:noProof/>
          <w:color w:val="3366FF"/>
          <w:lang w:val="en-US"/>
        </w:rPr>
        <mc:AlternateContent>
          <mc:Choice Requires="wps">
            <w:drawing>
              <wp:anchor distT="0" distB="0" distL="114300" distR="114300" simplePos="0" relativeHeight="251686912" behindDoc="0" locked="0" layoutInCell="1" allowOverlap="1" wp14:anchorId="28E66E6D" wp14:editId="561FA504">
                <wp:simplePos x="0" y="0"/>
                <wp:positionH relativeFrom="margin">
                  <wp:posOffset>0</wp:posOffset>
                </wp:positionH>
                <wp:positionV relativeFrom="paragraph">
                  <wp:posOffset>-837565</wp:posOffset>
                </wp:positionV>
                <wp:extent cx="0" cy="6172200"/>
                <wp:effectExtent l="0" t="0" r="25400" b="0"/>
                <wp:wrapNone/>
                <wp:docPr id="17" name="Straight Connector 17"/>
                <wp:cNvGraphicFramePr/>
                <a:graphic xmlns:a="http://schemas.openxmlformats.org/drawingml/2006/main">
                  <a:graphicData uri="http://schemas.microsoft.com/office/word/2010/wordprocessingShape">
                    <wps:wsp>
                      <wps:cNvCnPr/>
                      <wps:spPr>
                        <a:xfrm>
                          <a:off x="0" y="0"/>
                          <a:ext cx="0" cy="6172200"/>
                        </a:xfrm>
                        <a:prstGeom prst="line">
                          <a:avLst/>
                        </a:prstGeom>
                        <a:ln w="25400">
                          <a:solidFill>
                            <a:srgbClr val="722AB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06F49E"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95pt" to="0,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" strokecolor="#722ab3" strokeweight="2pt">
                <v:stroke dashstyle="dash" joinstyle="miter"/>
                <w10:wrap anchorx="margin"/>
              </v:line>
            </w:pict>
          </mc:Fallback>
        </mc:AlternateContent>
      </w:r>
      <w:r w:rsidR="00506EFF" w:rsidRPr="006D4AB3">
        <w:rPr>
          <w:rFonts w:ascii="Calibri" w:hAnsi="Calibri"/>
        </w:rPr>
        <w:t>Across the UK</w:t>
      </w:r>
      <w:r w:rsidR="002B679D">
        <w:rPr>
          <w:rFonts w:ascii="Calibri" w:hAnsi="Calibri"/>
        </w:rPr>
        <w:t>,</w:t>
      </w:r>
      <w:r w:rsidR="00506EFF" w:rsidRPr="006D4AB3">
        <w:rPr>
          <w:rFonts w:ascii="Calibri" w:hAnsi="Calibri"/>
        </w:rPr>
        <w:t xml:space="preserve"> school children from families with a low household income are entitled to free school meals. </w:t>
      </w:r>
      <w:r w:rsidR="00506EFF" w:rsidRPr="00877FE4">
        <w:rPr>
          <w:rFonts w:ascii="Calibri" w:hAnsi="Calibri"/>
          <w:color w:val="3366FF"/>
        </w:rPr>
        <w:t>In Scotland, free school meals are also universal to all children from P1-P3, with recent a</w:t>
      </w:r>
      <w:r w:rsidR="00B764A7" w:rsidRPr="00877FE4">
        <w:rPr>
          <w:rFonts w:ascii="Calibri" w:hAnsi="Calibri"/>
          <w:color w:val="3366FF"/>
        </w:rPr>
        <w:t>nnouncements promising to extend</w:t>
      </w:r>
      <w:r w:rsidR="00506EFF" w:rsidRPr="00877FE4">
        <w:rPr>
          <w:rFonts w:ascii="Calibri" w:hAnsi="Calibri"/>
          <w:color w:val="3366FF"/>
        </w:rPr>
        <w:t xml:space="preserve"> this to </w:t>
      </w:r>
      <w:r w:rsidR="00B764A7" w:rsidRPr="00877FE4">
        <w:rPr>
          <w:rFonts w:ascii="Calibri" w:hAnsi="Calibri"/>
          <w:color w:val="3366FF"/>
        </w:rPr>
        <w:t>nursery</w:t>
      </w:r>
      <w:r w:rsidR="00506EFF" w:rsidRPr="00877FE4">
        <w:rPr>
          <w:rFonts w:ascii="Calibri" w:hAnsi="Calibri"/>
          <w:color w:val="3366FF"/>
        </w:rPr>
        <w:t xml:space="preserve"> school children. There are strong policies on nutritional content of school meals, sourcing guidelines, and many schools have adopted whole-school </w:t>
      </w:r>
      <w:r w:rsidR="00B764A7" w:rsidRPr="00877FE4">
        <w:rPr>
          <w:rFonts w:ascii="Calibri" w:hAnsi="Calibri"/>
          <w:color w:val="3366FF"/>
        </w:rPr>
        <w:t>policies that</w:t>
      </w:r>
      <w:r w:rsidR="00506EFF" w:rsidRPr="00877FE4">
        <w:rPr>
          <w:rFonts w:ascii="Calibri" w:hAnsi="Calibri"/>
          <w:color w:val="3366FF"/>
        </w:rPr>
        <w:t xml:space="preserve"> include practical growing and cooking.</w:t>
      </w:r>
      <w:r w:rsidR="00506EFF" w:rsidRPr="00877FE4">
        <w:rPr>
          <w:rStyle w:val="EndnoteReference"/>
          <w:rFonts w:ascii="Calibri" w:hAnsi="Calibri"/>
          <w:color w:val="3366FF"/>
        </w:rPr>
        <w:endnoteReference w:id="103"/>
      </w:r>
    </w:p>
    <w:p w14:paraId="11F74ABD" w14:textId="77777777" w:rsidR="00506EFF" w:rsidRPr="00877FE4" w:rsidRDefault="00506EFF" w:rsidP="002B5D21">
      <w:pPr>
        <w:ind w:left="720"/>
        <w:rPr>
          <w:rFonts w:ascii="Calibri" w:hAnsi="Calibri"/>
          <w:color w:val="3366FF"/>
        </w:rPr>
      </w:pPr>
      <w:r w:rsidRPr="00877FE4">
        <w:rPr>
          <w:rFonts w:ascii="Calibri" w:hAnsi="Calibri"/>
          <w:color w:val="3366FF"/>
        </w:rPr>
        <w:t>There’s still much work to be done to increase uptake of free school meals, though universal eligibility in P1-3 has also increased uptake in children who would have previously qualified by means-tested eligibility in some areas by up to 8.5%.</w:t>
      </w:r>
      <w:r w:rsidRPr="00877FE4">
        <w:rPr>
          <w:rStyle w:val="EndnoteReference"/>
          <w:rFonts w:ascii="Calibri" w:hAnsi="Calibri"/>
          <w:color w:val="3366FF"/>
        </w:rPr>
        <w:endnoteReference w:id="104"/>
      </w:r>
      <w:r w:rsidRPr="00877FE4">
        <w:rPr>
          <w:rFonts w:ascii="Calibri" w:hAnsi="Calibri"/>
          <w:color w:val="3366FF"/>
        </w:rPr>
        <w:t xml:space="preserve"> More could be done to increase uptake of school meals where universal entitlement does not apply, especially in light of research suggesting that </w:t>
      </w:r>
      <w:r w:rsidRPr="00BF033C">
        <w:rPr>
          <w:rFonts w:ascii="Calibri" w:hAnsi="Calibri"/>
          <w:b/>
          <w:color w:val="3366FF"/>
        </w:rPr>
        <w:t>only 1% of packed lunch boxes meet school nutritional standards though tend to cost much more than a school meal</w:t>
      </w:r>
      <w:r w:rsidRPr="00877FE4">
        <w:rPr>
          <w:rFonts w:ascii="Calibri" w:hAnsi="Calibri"/>
          <w:color w:val="3366FF"/>
        </w:rPr>
        <w:t>.</w:t>
      </w:r>
      <w:r w:rsidRPr="00877FE4">
        <w:rPr>
          <w:rStyle w:val="EndnoteReference"/>
          <w:rFonts w:ascii="Calibri" w:hAnsi="Calibri"/>
          <w:color w:val="3366FF"/>
        </w:rPr>
        <w:endnoteReference w:id="105"/>
      </w:r>
    </w:p>
    <w:p w14:paraId="56FAF1A7" w14:textId="526933BF" w:rsidR="00506EFF" w:rsidRPr="00877FE4" w:rsidRDefault="00506EFF" w:rsidP="002B5D21">
      <w:pPr>
        <w:ind w:left="720"/>
        <w:rPr>
          <w:rStyle w:val="Hyperlink"/>
          <w:rFonts w:ascii="Calibri" w:hAnsi="Calibri"/>
          <w:color w:val="3366FF"/>
          <w:u w:val="none"/>
        </w:rPr>
      </w:pPr>
      <w:r w:rsidRPr="00877FE4">
        <w:rPr>
          <w:rFonts w:ascii="Calibri" w:hAnsi="Calibri"/>
          <w:color w:val="3366FF"/>
        </w:rPr>
        <w:t xml:space="preserve">Whilst improvements within the school environment have been significant there are worrying indications that for a growing number of children the school meal is the only nutritious meal of the day. Childhood food insecurity and poor nutrition significantly impacts on children’s educational attainment, social development and long-term </w:t>
      </w:r>
      <w:r w:rsidRPr="00AF5864">
        <w:rPr>
          <w:rFonts w:ascii="Calibri" w:hAnsi="Calibri"/>
          <w:color w:val="3366FF"/>
        </w:rPr>
        <w:t xml:space="preserve">health and </w:t>
      </w:r>
      <w:r w:rsidR="00033747" w:rsidRPr="00AF5864">
        <w:rPr>
          <w:rFonts w:ascii="Calibri" w:hAnsi="Calibri"/>
          <w:color w:val="3366FF"/>
        </w:rPr>
        <w:t>wellbeing</w:t>
      </w:r>
      <w:r w:rsidRPr="00AF5864">
        <w:rPr>
          <w:rFonts w:ascii="Calibri" w:hAnsi="Calibri"/>
          <w:color w:val="3366FF"/>
        </w:rPr>
        <w:t>, and therefore demands strategic action to ensure provision beyond the school-g</w:t>
      </w:r>
      <w:r w:rsidRPr="00033747">
        <w:rPr>
          <w:rFonts w:ascii="Calibri" w:hAnsi="Calibri"/>
          <w:color w:val="3366FF"/>
        </w:rPr>
        <w:t>ate.</w:t>
      </w:r>
      <w:r w:rsidR="00AF5864" w:rsidRPr="00033747">
        <w:rPr>
          <w:rFonts w:ascii="Calibri" w:hAnsi="Calibri"/>
          <w:color w:val="3366FF"/>
        </w:rPr>
        <w:t xml:space="preserve"> In this respect support within the first 1000 days, including pre-</w:t>
      </w:r>
      <w:proofErr w:type="gramStart"/>
      <w:r w:rsidR="00033747" w:rsidRPr="00033747">
        <w:rPr>
          <w:rFonts w:ascii="Calibri" w:hAnsi="Calibri"/>
          <w:color w:val="3366FF"/>
        </w:rPr>
        <w:t>natal,</w:t>
      </w:r>
      <w:proofErr w:type="gramEnd"/>
      <w:r w:rsidR="00AF5864" w:rsidRPr="00033747">
        <w:rPr>
          <w:rFonts w:ascii="Calibri" w:hAnsi="Calibri"/>
          <w:color w:val="3366FF"/>
        </w:rPr>
        <w:t xml:space="preserve"> is crucial – the devolution of social security powers on welfare foods, including Healthy Start vouchers, will provide an important opportunity for the Scottish Government to impact positively.</w:t>
      </w:r>
      <w:r w:rsidR="00033747" w:rsidRPr="00033747">
        <w:rPr>
          <w:rStyle w:val="EndnoteReference"/>
          <w:rFonts w:ascii="Calibri" w:hAnsi="Calibri"/>
          <w:color w:val="3366FF"/>
        </w:rPr>
        <w:endnoteReference w:id="106"/>
      </w:r>
      <w:r w:rsidR="00AF5864" w:rsidRPr="00033747">
        <w:rPr>
          <w:rFonts w:ascii="Calibri" w:hAnsi="Calibri"/>
          <w:color w:val="3366FF"/>
        </w:rPr>
        <w:t xml:space="preserve"> </w:t>
      </w:r>
      <w:r w:rsidRPr="00877FE4">
        <w:rPr>
          <w:rFonts w:ascii="Calibri" w:hAnsi="Calibri"/>
          <w:i/>
          <w:color w:val="3366FF"/>
        </w:rPr>
        <w:fldChar w:fldCharType="begin"/>
      </w:r>
      <w:r w:rsidRPr="00877FE4">
        <w:rPr>
          <w:rFonts w:ascii="Calibri" w:hAnsi="Calibri"/>
          <w:i/>
          <w:color w:val="3366FF"/>
        </w:rPr>
        <w:instrText xml:space="preserve"> HYPERLINK "http://www.gov.scot/Resource/0044/00445740.pdf" </w:instrText>
      </w:r>
      <w:r w:rsidRPr="00877FE4">
        <w:rPr>
          <w:rFonts w:ascii="Calibri" w:hAnsi="Calibri"/>
          <w:i/>
          <w:color w:val="3366FF"/>
        </w:rPr>
        <w:fldChar w:fldCharType="separate"/>
      </w:r>
    </w:p>
    <w:p w14:paraId="741567F6" w14:textId="374E7D8E" w:rsidR="00506EFF" w:rsidRPr="006D4AB3" w:rsidRDefault="00506EFF" w:rsidP="002B5D21">
      <w:pPr>
        <w:ind w:left="720"/>
        <w:rPr>
          <w:rFonts w:ascii="Calibri" w:hAnsi="Calibri"/>
        </w:rPr>
      </w:pPr>
      <w:r w:rsidRPr="00877FE4">
        <w:rPr>
          <w:rFonts w:ascii="Calibri" w:hAnsi="Calibri"/>
          <w:i/>
          <w:color w:val="3366FF"/>
        </w:rPr>
        <w:fldChar w:fldCharType="end"/>
      </w:r>
      <w:r w:rsidRPr="00877FE4">
        <w:rPr>
          <w:rFonts w:ascii="Calibri" w:hAnsi="Calibri"/>
          <w:color w:val="3366FF"/>
        </w:rPr>
        <w:t xml:space="preserve">Scotland has led the UK in developing hospital food nutrition policy but still falls short in many areas including procurement, person-centred delivery, and provision for children. On average </w:t>
      </w:r>
      <w:r w:rsidRPr="00877FE4">
        <w:rPr>
          <w:rFonts w:ascii="Calibri" w:hAnsi="Calibri"/>
          <w:b/>
          <w:color w:val="3366FF"/>
        </w:rPr>
        <w:t>24% of patients are identified as undernourished on admission to hospital</w:t>
      </w:r>
      <w:r w:rsidRPr="00877FE4">
        <w:rPr>
          <w:rFonts w:ascii="Calibri" w:hAnsi="Calibri"/>
          <w:color w:val="3366FF"/>
        </w:rPr>
        <w:t>, concerningly this figure tends to increase on discharge.</w:t>
      </w:r>
      <w:r w:rsidRPr="00877FE4">
        <w:rPr>
          <w:rStyle w:val="EndnoteReference"/>
          <w:rFonts w:ascii="Calibri" w:hAnsi="Calibri"/>
          <w:color w:val="3366FF"/>
        </w:rPr>
        <w:endnoteReference w:id="107"/>
      </w:r>
      <w:r w:rsidRPr="00877FE4">
        <w:rPr>
          <w:rFonts w:ascii="Calibri" w:hAnsi="Calibri"/>
          <w:color w:val="3366FF"/>
        </w:rPr>
        <w:t xml:space="preserve"> Nutritional screening policies are more prevalent and more routinely actioned in Scottish hospitals, but some hospitals still do not have a policy and many do not offer guidance on nutrition in discharge letters.</w:t>
      </w:r>
      <w:r w:rsidRPr="00877FE4">
        <w:rPr>
          <w:rStyle w:val="EndnoteReference"/>
          <w:rFonts w:ascii="Calibri" w:hAnsi="Calibri"/>
          <w:color w:val="3366FF"/>
        </w:rPr>
        <w:endnoteReference w:id="108"/>
      </w:r>
      <w:r w:rsidRPr="006D4AB3">
        <w:rPr>
          <w:rFonts w:ascii="Calibri" w:hAnsi="Calibri"/>
          <w:color w:val="2F5496" w:themeColor="accent5" w:themeShade="BF"/>
        </w:rPr>
        <w:t xml:space="preserve"> </w:t>
      </w:r>
      <w:r w:rsidRPr="006D4AB3">
        <w:rPr>
          <w:rFonts w:ascii="Calibri" w:hAnsi="Calibri"/>
        </w:rPr>
        <w:t xml:space="preserve">The broader hospital food environment still suffers from the abundance of foods high in </w:t>
      </w:r>
      <w:proofErr w:type="gramStart"/>
      <w:r w:rsidRPr="006D4AB3">
        <w:rPr>
          <w:rFonts w:ascii="Calibri" w:hAnsi="Calibri"/>
        </w:rPr>
        <w:t>fat,</w:t>
      </w:r>
      <w:proofErr w:type="gramEnd"/>
      <w:r w:rsidRPr="006D4AB3">
        <w:rPr>
          <w:rFonts w:ascii="Calibri" w:hAnsi="Calibri"/>
        </w:rPr>
        <w:t xml:space="preserve"> sugar and salt, with many hospitals in the UK contractually bound to provide commercial food outlets as part of Private Finance Initiative deals.</w:t>
      </w:r>
      <w:r w:rsidRPr="006D4AB3">
        <w:rPr>
          <w:rStyle w:val="EndnoteReference"/>
          <w:rFonts w:ascii="Calibri" w:hAnsi="Calibri"/>
        </w:rPr>
        <w:endnoteReference w:id="109"/>
      </w:r>
      <w:r w:rsidRPr="006D4AB3">
        <w:rPr>
          <w:rFonts w:ascii="Calibri" w:hAnsi="Calibri"/>
        </w:rPr>
        <w:t xml:space="preserve">  </w:t>
      </w:r>
    </w:p>
    <w:p w14:paraId="2A23E609" w14:textId="544DBC0D" w:rsidR="001E746C" w:rsidRPr="00AF5864" w:rsidRDefault="00506EFF" w:rsidP="00AF5864">
      <w:pPr>
        <w:ind w:left="720"/>
        <w:rPr>
          <w:rFonts w:ascii="Calibri" w:hAnsi="Calibri"/>
        </w:rPr>
      </w:pPr>
      <w:r w:rsidRPr="006D4AB3">
        <w:rPr>
          <w:rFonts w:ascii="Calibri" w:hAnsi="Calibri"/>
        </w:rPr>
        <w:t>Dietary health is particular problem for older people in care, with 50% of people admitted to hospital from care homes identified as at risk or malnourished.</w:t>
      </w:r>
      <w:r w:rsidRPr="006D4AB3">
        <w:rPr>
          <w:rStyle w:val="EndnoteReference"/>
          <w:rFonts w:ascii="Calibri" w:hAnsi="Calibri"/>
        </w:rPr>
        <w:endnoteReference w:id="110"/>
      </w:r>
      <w:r w:rsidRPr="006D4AB3">
        <w:rPr>
          <w:rFonts w:ascii="Calibri" w:hAnsi="Calibri"/>
        </w:rPr>
        <w:t xml:space="preserve"> </w:t>
      </w:r>
      <w:r w:rsidRPr="00877FE4">
        <w:rPr>
          <w:rFonts w:ascii="Calibri" w:hAnsi="Calibri"/>
          <w:color w:val="3366FF"/>
        </w:rPr>
        <w:t>The figure is notably lower in Scotland at 43%,</w:t>
      </w:r>
      <w:r w:rsidRPr="006D4AB3">
        <w:rPr>
          <w:rFonts w:ascii="Calibri" w:hAnsi="Calibri"/>
          <w:color w:val="2F5496" w:themeColor="accent5" w:themeShade="BF"/>
        </w:rPr>
        <w:t xml:space="preserve"> </w:t>
      </w:r>
      <w:r w:rsidRPr="006D4AB3">
        <w:rPr>
          <w:rFonts w:ascii="Calibri" w:hAnsi="Calibri"/>
        </w:rPr>
        <w:t>but the problem is nonetheless evident and requires urgent person-centred review.</w:t>
      </w:r>
      <w:r w:rsidRPr="006D4AB3">
        <w:rPr>
          <w:rStyle w:val="EndnoteReference"/>
          <w:rFonts w:ascii="Calibri" w:hAnsi="Calibri"/>
        </w:rPr>
        <w:endnoteReference w:id="111"/>
      </w:r>
      <w:r w:rsidR="00AF5864">
        <w:rPr>
          <w:rFonts w:ascii="Calibri" w:hAnsi="Calibri"/>
        </w:rPr>
        <w:br/>
      </w:r>
    </w:p>
    <w:p w14:paraId="3E3CC036" w14:textId="5DB2124B" w:rsidR="00506EFF" w:rsidRPr="006D4AB3" w:rsidRDefault="00506EFF" w:rsidP="001E746C">
      <w:pPr>
        <w:ind w:left="2160" w:hanging="2160"/>
        <w:rPr>
          <w:rFonts w:ascii="Calibri" w:hAnsi="Calibri"/>
        </w:rPr>
      </w:pPr>
      <w:r w:rsidRPr="006D4AB3">
        <w:rPr>
          <w:rFonts w:ascii="Calibri" w:hAnsi="Calibri"/>
          <w:b/>
        </w:rPr>
        <w:t>Recommendation</w:t>
      </w:r>
      <w:r w:rsidR="008970A3" w:rsidRPr="006D4AB3">
        <w:rPr>
          <w:rFonts w:ascii="Calibri" w:hAnsi="Calibri"/>
          <w:b/>
        </w:rPr>
        <w:t xml:space="preserve"> 6</w:t>
      </w:r>
      <w:r w:rsidRPr="006D4AB3">
        <w:rPr>
          <w:rFonts w:ascii="Calibri" w:hAnsi="Calibri"/>
          <w:b/>
        </w:rPr>
        <w:t>:</w:t>
      </w:r>
      <w:r w:rsidR="009D6227">
        <w:rPr>
          <w:rFonts w:ascii="Calibri" w:hAnsi="Calibri"/>
        </w:rPr>
        <w:tab/>
        <w:t>I</w:t>
      </w:r>
      <w:r w:rsidRPr="006D4AB3">
        <w:rPr>
          <w:rFonts w:ascii="Calibri" w:hAnsi="Calibri"/>
        </w:rPr>
        <w:t xml:space="preserve">ntroduce a </w:t>
      </w:r>
      <w:r w:rsidRPr="006D4AB3">
        <w:rPr>
          <w:rFonts w:ascii="Calibri" w:hAnsi="Calibri"/>
          <w:i/>
        </w:rPr>
        <w:t>Retailers Levy</w:t>
      </w:r>
      <w:r w:rsidRPr="006D4AB3">
        <w:rPr>
          <w:rFonts w:ascii="Calibri" w:hAnsi="Calibri"/>
        </w:rPr>
        <w:t xml:space="preserve"> to align market sales with nutritional guidelines, incentivising manufacturers and retailers to promote greater nutritional balance through market taxation. Re-evaluate the effectiveness of VAT across foods, especially in fruit, vegetables, foods high in fibre and oily fish.</w:t>
      </w:r>
    </w:p>
    <w:p w14:paraId="3BA6A265" w14:textId="7C549AA9" w:rsidR="00506EFF" w:rsidRPr="006D4AB3" w:rsidRDefault="00506EFF" w:rsidP="001E746C">
      <w:pPr>
        <w:ind w:left="2160" w:hanging="2160"/>
        <w:rPr>
          <w:rFonts w:ascii="Calibri" w:hAnsi="Calibri"/>
        </w:rPr>
      </w:pPr>
      <w:r w:rsidRPr="006D4AB3">
        <w:rPr>
          <w:rFonts w:ascii="Calibri" w:hAnsi="Calibri"/>
          <w:b/>
        </w:rPr>
        <w:t>Recommendation</w:t>
      </w:r>
      <w:r w:rsidR="008970A3" w:rsidRPr="006D4AB3">
        <w:rPr>
          <w:rFonts w:ascii="Calibri" w:hAnsi="Calibri"/>
          <w:b/>
        </w:rPr>
        <w:t xml:space="preserve"> 7</w:t>
      </w:r>
      <w:r w:rsidR="009D6227">
        <w:rPr>
          <w:rFonts w:ascii="Calibri" w:hAnsi="Calibri"/>
        </w:rPr>
        <w:t xml:space="preserve">: </w:t>
      </w:r>
      <w:r w:rsidR="009D6227">
        <w:rPr>
          <w:rFonts w:ascii="Calibri" w:hAnsi="Calibri"/>
        </w:rPr>
        <w:tab/>
        <w:t>E</w:t>
      </w:r>
      <w:r w:rsidRPr="006D4AB3">
        <w:rPr>
          <w:rFonts w:ascii="Calibri" w:hAnsi="Calibri"/>
        </w:rPr>
        <w:t>xtend the advertising ban on foods high in fat, sugar and salt to all broadcast advertising before the 9pm watershed, and adopt tighter regulations on marketing of these foods to children including through sponsorship. Regulate promotions on foods high in fat, sugar and salt, and introduce industry guidelines on portion size.</w:t>
      </w:r>
    </w:p>
    <w:p w14:paraId="02B0E12D" w14:textId="226F911B" w:rsidR="00506EFF" w:rsidRPr="006D4AB3" w:rsidRDefault="00506EFF" w:rsidP="001E746C">
      <w:pPr>
        <w:ind w:left="2160" w:hanging="2160"/>
        <w:rPr>
          <w:rFonts w:ascii="Calibri" w:hAnsi="Calibri"/>
        </w:rPr>
      </w:pPr>
      <w:r w:rsidRPr="006D4AB3">
        <w:rPr>
          <w:rFonts w:ascii="Calibri" w:hAnsi="Calibri"/>
          <w:b/>
        </w:rPr>
        <w:t>Recommendation</w:t>
      </w:r>
      <w:r w:rsidR="008970A3" w:rsidRPr="006D4AB3">
        <w:rPr>
          <w:rFonts w:ascii="Calibri" w:hAnsi="Calibri"/>
          <w:b/>
        </w:rPr>
        <w:t xml:space="preserve"> 8</w:t>
      </w:r>
      <w:r w:rsidR="009D6227">
        <w:rPr>
          <w:rFonts w:ascii="Calibri" w:hAnsi="Calibri"/>
        </w:rPr>
        <w:t xml:space="preserve">: </w:t>
      </w:r>
      <w:r w:rsidR="009D6227">
        <w:rPr>
          <w:rFonts w:ascii="Calibri" w:hAnsi="Calibri"/>
        </w:rPr>
        <w:tab/>
        <w:t>I</w:t>
      </w:r>
      <w:r w:rsidRPr="006D4AB3">
        <w:rPr>
          <w:rFonts w:ascii="Calibri" w:hAnsi="Calibri"/>
        </w:rPr>
        <w:t xml:space="preserve">ntegrate poverty reduction into the </w:t>
      </w:r>
      <w:r w:rsidRPr="006D4AB3">
        <w:rPr>
          <w:rFonts w:ascii="Calibri" w:hAnsi="Calibri"/>
          <w:i/>
        </w:rPr>
        <w:t>National Planning Framework</w:t>
      </w:r>
      <w:r w:rsidRPr="006D4AB3">
        <w:rPr>
          <w:rFonts w:ascii="Calibri" w:hAnsi="Calibri"/>
        </w:rPr>
        <w:t xml:space="preserve"> and </w:t>
      </w:r>
      <w:r w:rsidRPr="006D4AB3">
        <w:rPr>
          <w:rFonts w:ascii="Calibri" w:hAnsi="Calibri"/>
          <w:i/>
        </w:rPr>
        <w:t>Land Use Strategy</w:t>
      </w:r>
      <w:r w:rsidRPr="006D4AB3">
        <w:rPr>
          <w:rFonts w:ascii="Calibri" w:hAnsi="Calibri"/>
        </w:rPr>
        <w:t xml:space="preserve">, ensuring its consideration in Strategic Development Plans and the development and implementation of food poverty strategies within Local Development Plans. </w:t>
      </w:r>
    </w:p>
    <w:p w14:paraId="56BB1EB6" w14:textId="143E6845" w:rsidR="00506EFF" w:rsidRPr="006D4AB3" w:rsidRDefault="003928E9" w:rsidP="001E746C">
      <w:pPr>
        <w:ind w:left="2160" w:hanging="2160"/>
        <w:rPr>
          <w:rFonts w:ascii="Calibri" w:hAnsi="Calibri"/>
        </w:rPr>
      </w:pPr>
      <w:r w:rsidRPr="006D4AB3">
        <w:rPr>
          <w:rFonts w:ascii="Calibri" w:hAnsi="Calibri"/>
          <w:noProof/>
          <w:color w:val="FF0000"/>
          <w:lang w:val="en-US"/>
        </w:rPr>
        <w:lastRenderedPageBreak/>
        <mc:AlternateContent>
          <mc:Choice Requires="wps">
            <w:drawing>
              <wp:anchor distT="0" distB="0" distL="114300" distR="114300" simplePos="0" relativeHeight="251684864" behindDoc="0" locked="0" layoutInCell="1" allowOverlap="1" wp14:anchorId="61CFCC97" wp14:editId="1811B849">
                <wp:simplePos x="0" y="0"/>
                <wp:positionH relativeFrom="margin">
                  <wp:posOffset>0</wp:posOffset>
                </wp:positionH>
                <wp:positionV relativeFrom="paragraph">
                  <wp:posOffset>1659521</wp:posOffset>
                </wp:positionV>
                <wp:extent cx="0" cy="7200900"/>
                <wp:effectExtent l="0" t="0" r="25400" b="12700"/>
                <wp:wrapNone/>
                <wp:docPr id="16" name="Straight Connector 16"/>
                <wp:cNvGraphicFramePr/>
                <a:graphic xmlns:a="http://schemas.openxmlformats.org/drawingml/2006/main">
                  <a:graphicData uri="http://schemas.microsoft.com/office/word/2010/wordprocessingShape">
                    <wps:wsp>
                      <wps:cNvCnPr/>
                      <wps:spPr>
                        <a:xfrm>
                          <a:off x="0" y="0"/>
                          <a:ext cx="0" cy="7200900"/>
                        </a:xfrm>
                        <a:prstGeom prst="line">
                          <a:avLst/>
                        </a:prstGeom>
                        <a:ln w="25400">
                          <a:solidFill>
                            <a:srgbClr val="722AB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541BB9"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0.65pt" to="0,6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" strokecolor="#722ab3" strokeweight="2pt">
                <v:stroke dashstyle="dash" joinstyle="miter"/>
                <w10:wrap anchorx="margin"/>
              </v:line>
            </w:pict>
          </mc:Fallback>
        </mc:AlternateContent>
      </w:r>
      <w:r w:rsidR="00506EFF" w:rsidRPr="006D4AB3">
        <w:rPr>
          <w:rFonts w:ascii="Calibri" w:hAnsi="Calibri"/>
          <w:b/>
        </w:rPr>
        <w:t xml:space="preserve">Recommendation </w:t>
      </w:r>
      <w:r w:rsidR="008970A3" w:rsidRPr="006D4AB3">
        <w:rPr>
          <w:rFonts w:ascii="Calibri" w:hAnsi="Calibri"/>
          <w:b/>
        </w:rPr>
        <w:t>9</w:t>
      </w:r>
      <w:r w:rsidR="00506EFF" w:rsidRPr="006D4AB3">
        <w:rPr>
          <w:rFonts w:ascii="Calibri" w:hAnsi="Calibri"/>
        </w:rPr>
        <w:t xml:space="preserve">: </w:t>
      </w:r>
      <w:r w:rsidR="00506EFF" w:rsidRPr="006D4AB3">
        <w:rPr>
          <w:rFonts w:ascii="Calibri" w:hAnsi="Calibri"/>
        </w:rPr>
        <w:tab/>
      </w:r>
      <w:r w:rsidR="009D6227">
        <w:rPr>
          <w:rFonts w:ascii="Calibri" w:hAnsi="Calibri"/>
        </w:rPr>
        <w:t>E</w:t>
      </w:r>
      <w:r w:rsidR="00506EFF" w:rsidRPr="006D4AB3">
        <w:rPr>
          <w:rFonts w:ascii="Calibri" w:hAnsi="Calibri"/>
        </w:rPr>
        <w:t>nsure schools maintain high nutritional standards and adopt a whole-s</w:t>
      </w:r>
      <w:r w:rsidR="00B2692B">
        <w:rPr>
          <w:rFonts w:ascii="Calibri" w:hAnsi="Calibri"/>
        </w:rPr>
        <w:t>chool approach by introducing</w:t>
      </w:r>
      <w:r w:rsidR="00506EFF" w:rsidRPr="006D4AB3">
        <w:rPr>
          <w:rFonts w:ascii="Calibri" w:hAnsi="Calibri"/>
        </w:rPr>
        <w:t xml:space="preserve"> </w:t>
      </w:r>
      <w:r w:rsidR="00D921E4">
        <w:rPr>
          <w:rFonts w:ascii="Calibri" w:hAnsi="Calibri"/>
        </w:rPr>
        <w:t>school</w:t>
      </w:r>
      <w:r w:rsidR="00B2692B">
        <w:rPr>
          <w:rFonts w:ascii="Calibri" w:hAnsi="Calibri"/>
        </w:rPr>
        <w:t xml:space="preserve"> inspection criteria on food. E</w:t>
      </w:r>
      <w:r w:rsidR="00506EFF" w:rsidRPr="006D4AB3">
        <w:rPr>
          <w:rFonts w:ascii="Calibri" w:hAnsi="Calibri"/>
        </w:rPr>
        <w:t>mbed universal free school meals in statutory regulations to create certainty as to legal entitlement and incentivise local authorit</w:t>
      </w:r>
      <w:r w:rsidR="00B2692B">
        <w:rPr>
          <w:rFonts w:ascii="Calibri" w:hAnsi="Calibri"/>
        </w:rPr>
        <w:t>ies to increase uptake of meals. Financially support schools to impact positively on nutrition beyond the school-gate through inclusive and empowering measures.</w:t>
      </w:r>
      <w:r w:rsidR="00506EFF" w:rsidRPr="006D4AB3">
        <w:rPr>
          <w:rFonts w:ascii="Calibri" w:hAnsi="Calibri"/>
        </w:rPr>
        <w:br/>
        <w:t xml:space="preserve">Ensure person-centred food in hospitals and care homes by </w:t>
      </w:r>
      <w:r w:rsidR="00D921E4">
        <w:rPr>
          <w:rFonts w:ascii="Calibri" w:hAnsi="Calibri"/>
        </w:rPr>
        <w:t>raising the importance of food and nutrition in the inspecting and reporting regime</w:t>
      </w:r>
      <w:r w:rsidR="00506EFF" w:rsidRPr="006D4AB3">
        <w:rPr>
          <w:rFonts w:ascii="Calibri" w:hAnsi="Calibri"/>
        </w:rPr>
        <w:t>, screen for malnutrition at all hospitals, and ensure care workers are properly trained in delivering good nutrition.</w:t>
      </w:r>
      <w:r w:rsidR="00E97890">
        <w:rPr>
          <w:rFonts w:ascii="Calibri" w:hAnsi="Calibri"/>
        </w:rPr>
        <w:br/>
      </w:r>
    </w:p>
    <w:p w14:paraId="7EAE1A6B" w14:textId="3FE08595" w:rsidR="00506EFF" w:rsidRPr="00877FE4" w:rsidRDefault="00506EFF" w:rsidP="00DF63B4">
      <w:pPr>
        <w:ind w:left="720"/>
        <w:rPr>
          <w:rFonts w:ascii="Calibri" w:hAnsi="Calibri"/>
          <w:b/>
          <w:color w:val="863AB8"/>
          <w:sz w:val="24"/>
        </w:rPr>
      </w:pPr>
      <w:r w:rsidRPr="00877FE4">
        <w:rPr>
          <w:rFonts w:ascii="Calibri" w:hAnsi="Calibri"/>
          <w:b/>
          <w:color w:val="863AB8"/>
          <w:sz w:val="32"/>
        </w:rPr>
        <w:t xml:space="preserve">Adequate: </w:t>
      </w:r>
      <w:r w:rsidRPr="00877FE4">
        <w:rPr>
          <w:rFonts w:ascii="Calibri" w:hAnsi="Calibri"/>
          <w:b/>
          <w:color w:val="863AB8"/>
          <w:sz w:val="32"/>
        </w:rPr>
        <w:tab/>
      </w:r>
      <w:r w:rsidR="00233D67" w:rsidRPr="00877FE4">
        <w:rPr>
          <w:rFonts w:ascii="Calibri" w:hAnsi="Calibri"/>
          <w:b/>
          <w:color w:val="863AB8"/>
          <w:sz w:val="32"/>
        </w:rPr>
        <w:t>F</w:t>
      </w:r>
      <w:r w:rsidRPr="00877FE4">
        <w:rPr>
          <w:rFonts w:ascii="Calibri" w:hAnsi="Calibri"/>
          <w:b/>
          <w:color w:val="863AB8"/>
          <w:sz w:val="32"/>
        </w:rPr>
        <w:t>ree from adverse substances</w:t>
      </w:r>
      <w:r w:rsidRPr="00877FE4">
        <w:rPr>
          <w:rFonts w:ascii="Calibri" w:hAnsi="Calibri"/>
          <w:b/>
          <w:color w:val="863AB8"/>
          <w:sz w:val="28"/>
        </w:rPr>
        <w:t xml:space="preserve"> </w:t>
      </w:r>
    </w:p>
    <w:p w14:paraId="78388A0E" w14:textId="77777777" w:rsidR="00506EFF" w:rsidRPr="006D4AB3" w:rsidRDefault="00506EFF" w:rsidP="00DF63B4">
      <w:pPr>
        <w:ind w:left="720"/>
        <w:rPr>
          <w:rFonts w:ascii="Calibri" w:hAnsi="Calibri"/>
        </w:rPr>
      </w:pPr>
      <w:r w:rsidRPr="006D4AB3">
        <w:rPr>
          <w:rFonts w:ascii="Calibri" w:hAnsi="Calibri"/>
        </w:rPr>
        <w:t>Whilst food safety in the UK is generally very good there are a number of areas that require improvement to protect the health of consumers. The adulteration of alcohol, the theft and sale of livestock not fit for human consumption, and the online sale of food supplements containing harmful substances present significant health challenges.</w:t>
      </w:r>
      <w:r w:rsidRPr="006D4AB3">
        <w:rPr>
          <w:rStyle w:val="EndnoteReference"/>
          <w:rFonts w:ascii="Calibri" w:hAnsi="Calibri"/>
        </w:rPr>
        <w:endnoteReference w:id="112"/>
      </w:r>
    </w:p>
    <w:p w14:paraId="2C153FC9" w14:textId="6FD2A018" w:rsidR="00506EFF" w:rsidRPr="006D4AB3" w:rsidRDefault="00506EFF" w:rsidP="00DF63B4">
      <w:pPr>
        <w:ind w:left="720"/>
        <w:rPr>
          <w:rFonts w:ascii="Calibri" w:hAnsi="Calibri"/>
        </w:rPr>
      </w:pPr>
      <w:r w:rsidRPr="006D4AB3">
        <w:rPr>
          <w:rFonts w:ascii="Calibri" w:hAnsi="Calibri"/>
        </w:rPr>
        <w:t xml:space="preserve">There is also a broader problem with </w:t>
      </w:r>
      <w:r w:rsidR="00F82F1E" w:rsidRPr="006D4AB3">
        <w:rPr>
          <w:rFonts w:ascii="Calibri" w:hAnsi="Calibri"/>
        </w:rPr>
        <w:t>food dishonesty resulting in unknowing</w:t>
      </w:r>
      <w:r w:rsidRPr="006D4AB3">
        <w:rPr>
          <w:rFonts w:ascii="Calibri" w:hAnsi="Calibri"/>
        </w:rPr>
        <w:t xml:space="preserve"> consumption of foods not appropriate on religious or ethical grounds – including the mislabelling of meat as halal and the misuse of organic labelling. The recent </w:t>
      </w:r>
      <w:r w:rsidRPr="006D4AB3">
        <w:rPr>
          <w:rFonts w:ascii="Calibri" w:hAnsi="Calibri"/>
          <w:i/>
        </w:rPr>
        <w:t>Elliot Review</w:t>
      </w:r>
      <w:r w:rsidRPr="006D4AB3">
        <w:rPr>
          <w:rFonts w:ascii="Calibri" w:hAnsi="Calibri"/>
        </w:rPr>
        <w:t xml:space="preserve"> highlighted many of the gaps in the regulatory framework following the major horsemeat incident in 2013, some of which have since been filled by the establishment of a UK-wide </w:t>
      </w:r>
      <w:r w:rsidRPr="00877FE4">
        <w:rPr>
          <w:rFonts w:ascii="Calibri" w:hAnsi="Calibri"/>
          <w:color w:val="3366FF"/>
        </w:rPr>
        <w:t>and a Scotland-specific food crime unit.</w:t>
      </w:r>
      <w:r w:rsidRPr="00877FE4">
        <w:rPr>
          <w:rStyle w:val="EndnoteReference"/>
          <w:rFonts w:ascii="Calibri" w:hAnsi="Calibri"/>
          <w:color w:val="3366FF"/>
        </w:rPr>
        <w:endnoteReference w:id="113"/>
      </w:r>
      <w:r w:rsidR="00F82F1E" w:rsidRPr="006D4AB3">
        <w:rPr>
          <w:rFonts w:ascii="Calibri" w:hAnsi="Calibri"/>
        </w:rPr>
        <w:t xml:space="preserve"> C</w:t>
      </w:r>
      <w:r w:rsidRPr="006D4AB3">
        <w:rPr>
          <w:rFonts w:ascii="Calibri" w:hAnsi="Calibri"/>
        </w:rPr>
        <w:t>rime detection still remains relatively low, especially because pe</w:t>
      </w:r>
      <w:r w:rsidR="00AD3FAC">
        <w:rPr>
          <w:rFonts w:ascii="Calibri" w:hAnsi="Calibri"/>
        </w:rPr>
        <w:t>ople are often not aware of having been a v</w:t>
      </w:r>
      <w:r w:rsidR="00F82F1E" w:rsidRPr="006D4AB3">
        <w:rPr>
          <w:rFonts w:ascii="Calibri" w:hAnsi="Calibri"/>
        </w:rPr>
        <w:t>ictim</w:t>
      </w:r>
      <w:r w:rsidRPr="006D4AB3">
        <w:rPr>
          <w:rFonts w:ascii="Calibri" w:hAnsi="Calibri"/>
        </w:rPr>
        <w:t>.</w:t>
      </w:r>
      <w:r w:rsidRPr="006D4AB3">
        <w:rPr>
          <w:rStyle w:val="EndnoteReference"/>
          <w:rFonts w:ascii="Calibri" w:hAnsi="Calibri"/>
        </w:rPr>
        <w:endnoteReference w:id="114"/>
      </w:r>
      <w:r w:rsidRPr="006D4AB3">
        <w:rPr>
          <w:rFonts w:ascii="Calibri" w:hAnsi="Calibri"/>
        </w:rPr>
        <w:t xml:space="preserve"> 42% of UK consumers are concerned about food safety in shops and supermarkets.</w:t>
      </w:r>
      <w:r w:rsidRPr="006D4AB3">
        <w:rPr>
          <w:rStyle w:val="EndnoteReference"/>
          <w:rFonts w:ascii="Calibri" w:hAnsi="Calibri"/>
        </w:rPr>
        <w:t xml:space="preserve"> </w:t>
      </w:r>
      <w:r w:rsidRPr="006D4AB3">
        <w:rPr>
          <w:rStyle w:val="EndnoteReference"/>
          <w:rFonts w:ascii="Calibri" w:hAnsi="Calibri"/>
        </w:rPr>
        <w:endnoteReference w:id="115"/>
      </w:r>
    </w:p>
    <w:p w14:paraId="463CCFDF" w14:textId="77777777" w:rsidR="00506EFF" w:rsidRPr="006D4AB3" w:rsidRDefault="00506EFF" w:rsidP="00DF63B4">
      <w:pPr>
        <w:ind w:left="720"/>
        <w:rPr>
          <w:rFonts w:ascii="Calibri" w:hAnsi="Calibri"/>
        </w:rPr>
      </w:pPr>
      <w:r w:rsidRPr="006D4AB3">
        <w:rPr>
          <w:rFonts w:ascii="Calibri" w:hAnsi="Calibri"/>
          <w:b/>
        </w:rPr>
        <w:t>Pesticide residues are now found in 46% of fresh foods sold in the UK</w:t>
      </w:r>
      <w:r w:rsidRPr="006D4AB3">
        <w:rPr>
          <w:rFonts w:ascii="Calibri" w:hAnsi="Calibri"/>
        </w:rPr>
        <w:t>, almost doubling from 24% in the last decade.</w:t>
      </w:r>
      <w:r w:rsidRPr="006D4AB3">
        <w:rPr>
          <w:rStyle w:val="EndnoteReference"/>
          <w:rFonts w:ascii="Calibri" w:hAnsi="Calibri"/>
        </w:rPr>
        <w:endnoteReference w:id="116"/>
      </w:r>
      <w:r w:rsidRPr="006D4AB3">
        <w:rPr>
          <w:rFonts w:ascii="Calibri" w:hAnsi="Calibri"/>
        </w:rPr>
        <w:t xml:space="preserve"> The EU licensing framework has resulted in the withdrawal of hundreds of chemicals from routine use as pesticides, however there are still a significant number that are licenced and test positive for carcinogenicity, reproductive and </w:t>
      </w:r>
      <w:proofErr w:type="spellStart"/>
      <w:r w:rsidRPr="006D4AB3">
        <w:rPr>
          <w:rFonts w:ascii="Calibri" w:hAnsi="Calibri"/>
        </w:rPr>
        <w:t>neuro</w:t>
      </w:r>
      <w:proofErr w:type="spellEnd"/>
      <w:r w:rsidRPr="006D4AB3">
        <w:rPr>
          <w:rFonts w:ascii="Calibri" w:hAnsi="Calibri"/>
        </w:rPr>
        <w:t>-development disorders and endocrine disruption.</w:t>
      </w:r>
      <w:r w:rsidRPr="006D4AB3">
        <w:rPr>
          <w:rStyle w:val="EndnoteReference"/>
          <w:rFonts w:ascii="Calibri" w:hAnsi="Calibri"/>
        </w:rPr>
        <w:endnoteReference w:id="117"/>
      </w:r>
      <w:r w:rsidRPr="006D4AB3">
        <w:rPr>
          <w:rFonts w:ascii="Calibri" w:hAnsi="Calibri"/>
        </w:rPr>
        <w:t xml:space="preserve"> Despite EU law requiring member states to create action plans establishing a timetable for the reduction of pesticide use the UK Government have refused to add any dates to their plan; the Director of Chemical Regulation has expressed that they are ‘not in favour of quantitative pesticide reduction targets’.</w:t>
      </w:r>
      <w:r w:rsidRPr="006D4AB3">
        <w:rPr>
          <w:rStyle w:val="EndnoteReference"/>
          <w:rFonts w:ascii="Calibri" w:hAnsi="Calibri"/>
        </w:rPr>
        <w:endnoteReference w:id="118"/>
      </w:r>
    </w:p>
    <w:p w14:paraId="25FF6D4A" w14:textId="7F01BE25" w:rsidR="00506EFF" w:rsidRPr="006D4AB3" w:rsidRDefault="00506EFF" w:rsidP="00DF63B4">
      <w:pPr>
        <w:ind w:left="720"/>
        <w:rPr>
          <w:rFonts w:ascii="Calibri" w:hAnsi="Calibri"/>
        </w:rPr>
      </w:pPr>
      <w:r w:rsidRPr="006D4AB3">
        <w:rPr>
          <w:rFonts w:ascii="Calibri" w:hAnsi="Calibri"/>
        </w:rPr>
        <w:t xml:space="preserve">The UK complies with the relatively comprehensive EU monitoring framework on pesticide residues in food </w:t>
      </w:r>
      <w:r w:rsidR="00AD3FAC">
        <w:rPr>
          <w:rFonts w:ascii="Calibri" w:hAnsi="Calibri"/>
        </w:rPr>
        <w:t>and</w:t>
      </w:r>
      <w:r w:rsidRPr="006D4AB3">
        <w:rPr>
          <w:rFonts w:ascii="Calibri" w:hAnsi="Calibri"/>
        </w:rPr>
        <w:t xml:space="preserve"> samples all major components of the national diet. Samples occasionally indicate residues over the Maximum Residue Level (MRL), the maximum concentration, however there is evide</w:t>
      </w:r>
      <w:r w:rsidR="002B679D">
        <w:rPr>
          <w:rFonts w:ascii="Calibri" w:hAnsi="Calibri"/>
        </w:rPr>
        <w:t>nce that</w:t>
      </w:r>
      <w:r w:rsidRPr="006D4AB3">
        <w:rPr>
          <w:rFonts w:ascii="Calibri" w:hAnsi="Calibri"/>
        </w:rPr>
        <w:t xml:space="preserve"> MRL levels do not always align with maximum safe consumption levels.</w:t>
      </w:r>
      <w:r w:rsidRPr="006D4AB3">
        <w:rPr>
          <w:rStyle w:val="EndnoteReference"/>
          <w:rFonts w:ascii="Calibri" w:hAnsi="Calibri"/>
        </w:rPr>
        <w:endnoteReference w:id="119"/>
      </w:r>
      <w:r w:rsidRPr="006D4AB3">
        <w:rPr>
          <w:rFonts w:ascii="Calibri" w:hAnsi="Calibri"/>
        </w:rPr>
        <w:t xml:space="preserve"> Relying on MRL limits also does not protect for the cumulative effect of consum</w:t>
      </w:r>
      <w:r w:rsidR="00F82F1E" w:rsidRPr="006D4AB3">
        <w:rPr>
          <w:rFonts w:ascii="Calibri" w:hAnsi="Calibri"/>
        </w:rPr>
        <w:t>ption, or</w:t>
      </w:r>
      <w:r w:rsidRPr="006D4AB3">
        <w:rPr>
          <w:rFonts w:ascii="Calibri" w:hAnsi="Calibri"/>
        </w:rPr>
        <w:t xml:space="preserve"> the impact of concentrat</w:t>
      </w:r>
      <w:r w:rsidR="00454413" w:rsidRPr="006D4AB3">
        <w:rPr>
          <w:rFonts w:ascii="Calibri" w:hAnsi="Calibri"/>
        </w:rPr>
        <w:t>ion on children</w:t>
      </w:r>
      <w:r w:rsidRPr="006D4AB3">
        <w:rPr>
          <w:rFonts w:ascii="Calibri" w:hAnsi="Calibri"/>
        </w:rPr>
        <w:t>. Groundwater contamination from pesticides has steadily declined, with nitrates from fertilisers and heavy metals now more prominent pollutants.</w:t>
      </w:r>
      <w:r w:rsidRPr="006D4AB3">
        <w:rPr>
          <w:rStyle w:val="EndnoteReference"/>
          <w:rFonts w:ascii="Calibri" w:hAnsi="Calibri"/>
        </w:rPr>
        <w:endnoteReference w:id="120"/>
      </w:r>
    </w:p>
    <w:p w14:paraId="53106A1A" w14:textId="10198C02" w:rsidR="00506EFF" w:rsidRPr="006D4AB3" w:rsidRDefault="00506EFF" w:rsidP="00DF63B4">
      <w:pPr>
        <w:ind w:left="720"/>
        <w:rPr>
          <w:rFonts w:ascii="Calibri" w:hAnsi="Calibri"/>
        </w:rPr>
      </w:pPr>
      <w:r w:rsidRPr="006D4AB3">
        <w:rPr>
          <w:rFonts w:ascii="Calibri" w:hAnsi="Calibri"/>
        </w:rPr>
        <w:t xml:space="preserve">Healthcare professionals, environment and animal welfare advocates have for some </w:t>
      </w:r>
      <w:proofErr w:type="gramStart"/>
      <w:r w:rsidRPr="006D4AB3">
        <w:rPr>
          <w:rFonts w:ascii="Calibri" w:hAnsi="Calibri"/>
        </w:rPr>
        <w:t>time raised</w:t>
      </w:r>
      <w:proofErr w:type="gramEnd"/>
      <w:r w:rsidRPr="006D4AB3">
        <w:rPr>
          <w:rFonts w:ascii="Calibri" w:hAnsi="Calibri"/>
        </w:rPr>
        <w:t xml:space="preserve"> concerns about the risk of antibiotic resistance from the routine preventative use of antibiotics on livestock.</w:t>
      </w:r>
      <w:r w:rsidRPr="006D4AB3">
        <w:rPr>
          <w:rStyle w:val="EndnoteReference"/>
          <w:rFonts w:ascii="Calibri" w:hAnsi="Calibri"/>
        </w:rPr>
        <w:endnoteReference w:id="121"/>
      </w:r>
      <w:r w:rsidRPr="006D4AB3">
        <w:rPr>
          <w:rFonts w:ascii="Calibri" w:hAnsi="Calibri"/>
        </w:rPr>
        <w:t xml:space="preserve"> Antibiotics are heavily used in factory farming where conditions increase the risk of infection. Important steps have been taken to reduce unnece</w:t>
      </w:r>
      <w:r w:rsidR="00AD3FAC">
        <w:rPr>
          <w:rFonts w:ascii="Calibri" w:hAnsi="Calibri"/>
        </w:rPr>
        <w:t xml:space="preserve">ssary antibiotic use in humans, but </w:t>
      </w:r>
      <w:r w:rsidRPr="006D4AB3">
        <w:rPr>
          <w:rFonts w:ascii="Calibri" w:hAnsi="Calibri"/>
        </w:rPr>
        <w:t xml:space="preserve">equivalent action is urgently needed for </w:t>
      </w:r>
      <w:r w:rsidR="00AD3FAC" w:rsidRPr="00AD3FAC">
        <w:rPr>
          <w:rFonts w:ascii="Calibri" w:hAnsi="Calibri"/>
          <w:b/>
        </w:rPr>
        <w:t xml:space="preserve">livestock </w:t>
      </w:r>
      <w:r w:rsidR="00AD3FAC">
        <w:rPr>
          <w:rFonts w:ascii="Calibri" w:hAnsi="Calibri"/>
          <w:b/>
        </w:rPr>
        <w:t>that represents</w:t>
      </w:r>
      <w:r w:rsidR="00AD3FAC" w:rsidRPr="00AD3FAC">
        <w:rPr>
          <w:rFonts w:ascii="Calibri" w:hAnsi="Calibri"/>
          <w:b/>
        </w:rPr>
        <w:t xml:space="preserve"> </w:t>
      </w:r>
      <w:r w:rsidRPr="00AD3FAC">
        <w:rPr>
          <w:rFonts w:ascii="Calibri" w:hAnsi="Calibri"/>
          <w:b/>
        </w:rPr>
        <w:t>45% of UK antibiotic use</w:t>
      </w:r>
      <w:r w:rsidRPr="006D4AB3">
        <w:rPr>
          <w:rFonts w:ascii="Calibri" w:hAnsi="Calibri"/>
        </w:rPr>
        <w:t xml:space="preserve">. </w:t>
      </w:r>
    </w:p>
    <w:p w14:paraId="37C34675" w14:textId="75D4B0ED" w:rsidR="008603E6" w:rsidRPr="006D4AB3" w:rsidRDefault="00506EFF" w:rsidP="008603E6">
      <w:pPr>
        <w:ind w:left="720"/>
        <w:rPr>
          <w:rFonts w:ascii="Calibri" w:hAnsi="Calibri"/>
        </w:rPr>
      </w:pPr>
      <w:r w:rsidRPr="006D4AB3">
        <w:rPr>
          <w:rFonts w:ascii="Calibri" w:hAnsi="Calibri"/>
        </w:rPr>
        <w:t xml:space="preserve">Scotland and Northern Ireland opted </w:t>
      </w:r>
      <w:r w:rsidR="0038792D">
        <w:rPr>
          <w:rFonts w:ascii="Calibri" w:hAnsi="Calibri"/>
        </w:rPr>
        <w:t xml:space="preserve">for </w:t>
      </w:r>
      <w:r w:rsidR="002B679D">
        <w:rPr>
          <w:rFonts w:ascii="Calibri" w:hAnsi="Calibri"/>
        </w:rPr>
        <w:t>a moratorium on the use of genet</w:t>
      </w:r>
      <w:r w:rsidR="0038792D">
        <w:rPr>
          <w:rFonts w:ascii="Calibri" w:hAnsi="Calibri"/>
        </w:rPr>
        <w:t>ically</w:t>
      </w:r>
      <w:r w:rsidRPr="006D4AB3">
        <w:rPr>
          <w:rFonts w:ascii="Calibri" w:hAnsi="Calibri"/>
        </w:rPr>
        <w:t xml:space="preserve"> modified crops citing a number of concerns including the inability to prevent contamination of non-GM crops.</w:t>
      </w:r>
      <w:r w:rsidRPr="006D4AB3">
        <w:rPr>
          <w:rStyle w:val="EndnoteReference"/>
          <w:rFonts w:ascii="Calibri" w:hAnsi="Calibri"/>
        </w:rPr>
        <w:endnoteReference w:id="122"/>
      </w:r>
      <w:r w:rsidRPr="006D4AB3">
        <w:rPr>
          <w:rFonts w:ascii="Calibri" w:hAnsi="Calibri"/>
        </w:rPr>
        <w:t xml:space="preserve"> Th</w:t>
      </w:r>
      <w:r w:rsidR="0038792D">
        <w:rPr>
          <w:rFonts w:ascii="Calibri" w:hAnsi="Calibri"/>
        </w:rPr>
        <w:t xml:space="preserve">is could </w:t>
      </w:r>
      <w:r w:rsidRPr="006D4AB3">
        <w:rPr>
          <w:rFonts w:ascii="Calibri" w:hAnsi="Calibri"/>
        </w:rPr>
        <w:t xml:space="preserve">be undermined by </w:t>
      </w:r>
      <w:r w:rsidR="00F82F1E" w:rsidRPr="006D4AB3">
        <w:rPr>
          <w:rFonts w:ascii="Calibri" w:hAnsi="Calibri"/>
        </w:rPr>
        <w:t xml:space="preserve">the </w:t>
      </w:r>
      <w:r w:rsidR="0038792D" w:rsidRPr="006D4AB3">
        <w:rPr>
          <w:rFonts w:ascii="Calibri" w:hAnsi="Calibri"/>
        </w:rPr>
        <w:t>case-by-case</w:t>
      </w:r>
      <w:r w:rsidRPr="006D4AB3">
        <w:rPr>
          <w:rFonts w:ascii="Calibri" w:hAnsi="Calibri"/>
        </w:rPr>
        <w:t xml:space="preserve"> approach to authorisation</w:t>
      </w:r>
      <w:r w:rsidR="00F82F1E" w:rsidRPr="006D4AB3">
        <w:rPr>
          <w:rFonts w:ascii="Calibri" w:hAnsi="Calibri"/>
        </w:rPr>
        <w:t xml:space="preserve"> adopted in England and Wales</w:t>
      </w:r>
      <w:r w:rsidRPr="006D4AB3">
        <w:rPr>
          <w:rFonts w:ascii="Calibri" w:hAnsi="Calibri"/>
        </w:rPr>
        <w:t>.</w:t>
      </w:r>
      <w:r w:rsidR="00F82F1E" w:rsidRPr="006D4AB3">
        <w:rPr>
          <w:rFonts w:ascii="Calibri" w:hAnsi="Calibri"/>
        </w:rPr>
        <w:br/>
      </w:r>
    </w:p>
    <w:p w14:paraId="5972B644" w14:textId="3F813F50" w:rsidR="00506EFF" w:rsidRPr="006D4AB3" w:rsidRDefault="00506EFF" w:rsidP="008603E6">
      <w:pPr>
        <w:ind w:left="2160" w:hanging="2160"/>
        <w:rPr>
          <w:rFonts w:ascii="Calibri" w:hAnsi="Calibri"/>
        </w:rPr>
      </w:pPr>
      <w:r w:rsidRPr="006D4AB3">
        <w:rPr>
          <w:rFonts w:ascii="Calibri" w:hAnsi="Calibri"/>
          <w:b/>
        </w:rPr>
        <w:lastRenderedPageBreak/>
        <w:t xml:space="preserve">Recommendation </w:t>
      </w:r>
      <w:r w:rsidR="008970A3" w:rsidRPr="006D4AB3">
        <w:rPr>
          <w:rFonts w:ascii="Calibri" w:hAnsi="Calibri"/>
          <w:b/>
        </w:rPr>
        <w:t>10</w:t>
      </w:r>
      <w:r w:rsidRPr="006D4AB3">
        <w:rPr>
          <w:rFonts w:ascii="Calibri" w:hAnsi="Calibri"/>
          <w:b/>
        </w:rPr>
        <w:t>:</w:t>
      </w:r>
      <w:r w:rsidR="00F82F1E" w:rsidRPr="006D4AB3">
        <w:rPr>
          <w:rFonts w:ascii="Calibri" w:hAnsi="Calibri"/>
        </w:rPr>
        <w:t xml:space="preserve"> </w:t>
      </w:r>
      <w:r w:rsidR="00F82F1E" w:rsidRPr="006D4AB3">
        <w:rPr>
          <w:rFonts w:ascii="Calibri" w:hAnsi="Calibri"/>
        </w:rPr>
        <w:tab/>
        <w:t>D</w:t>
      </w:r>
      <w:r w:rsidRPr="006D4AB3">
        <w:rPr>
          <w:rFonts w:ascii="Calibri" w:hAnsi="Calibri"/>
        </w:rPr>
        <w:t>evelop a comprehensive register of food businesses to enable effective monitoring</w:t>
      </w:r>
      <w:r w:rsidR="009C6124">
        <w:rPr>
          <w:rFonts w:ascii="Calibri" w:hAnsi="Calibri"/>
        </w:rPr>
        <w:t xml:space="preserve"> of potential criminal activity and i</w:t>
      </w:r>
      <w:r w:rsidRPr="006D4AB3">
        <w:rPr>
          <w:rFonts w:ascii="Calibri" w:hAnsi="Calibri"/>
        </w:rPr>
        <w:t>ncrease food chain transparency</w:t>
      </w:r>
      <w:r w:rsidR="009C6124">
        <w:rPr>
          <w:rFonts w:ascii="Calibri" w:hAnsi="Calibri"/>
        </w:rPr>
        <w:t xml:space="preserve">. Show </w:t>
      </w:r>
      <w:r w:rsidRPr="006D4AB3">
        <w:rPr>
          <w:rFonts w:ascii="Calibri" w:hAnsi="Calibri"/>
        </w:rPr>
        <w:t xml:space="preserve">leadership </w:t>
      </w:r>
      <w:r w:rsidR="009C6124">
        <w:rPr>
          <w:rFonts w:ascii="Calibri" w:hAnsi="Calibri"/>
        </w:rPr>
        <w:t xml:space="preserve">through procurement </w:t>
      </w:r>
      <w:r w:rsidRPr="006D4AB3">
        <w:rPr>
          <w:rFonts w:ascii="Calibri" w:hAnsi="Calibri"/>
        </w:rPr>
        <w:t>by reducing links</w:t>
      </w:r>
      <w:r w:rsidR="00F82F1E" w:rsidRPr="006D4AB3">
        <w:rPr>
          <w:rFonts w:ascii="Calibri" w:hAnsi="Calibri"/>
        </w:rPr>
        <w:t xml:space="preserve"> in supply chains</w:t>
      </w:r>
      <w:r w:rsidR="009C6124">
        <w:rPr>
          <w:rFonts w:ascii="Calibri" w:hAnsi="Calibri"/>
        </w:rPr>
        <w:t xml:space="preserve"> and adopting statutory targets on organic food in public kitchens</w:t>
      </w:r>
      <w:r w:rsidR="00F82F1E" w:rsidRPr="006D4AB3">
        <w:rPr>
          <w:rFonts w:ascii="Calibri" w:hAnsi="Calibri"/>
        </w:rPr>
        <w:t>.</w:t>
      </w:r>
      <w:r w:rsidR="008603E6" w:rsidRPr="006D4AB3">
        <w:rPr>
          <w:rFonts w:ascii="Calibri" w:hAnsi="Calibri"/>
        </w:rPr>
        <w:br/>
      </w:r>
      <w:r w:rsidRPr="006D4AB3">
        <w:rPr>
          <w:rFonts w:ascii="Calibri" w:hAnsi="Calibri"/>
        </w:rPr>
        <w:t>Introduce a time-bound strategy for the reduction of pesticide use and encourage alternatives such as</w:t>
      </w:r>
      <w:r w:rsidR="009D6227">
        <w:rPr>
          <w:rFonts w:ascii="Calibri" w:hAnsi="Calibri"/>
        </w:rPr>
        <w:t xml:space="preserve"> organic and</w:t>
      </w:r>
      <w:r w:rsidRPr="006D4AB3">
        <w:rPr>
          <w:rFonts w:ascii="Calibri" w:hAnsi="Calibri"/>
        </w:rPr>
        <w:t xml:space="preserve"> integrated pest management </w:t>
      </w:r>
      <w:r w:rsidR="009D6227">
        <w:rPr>
          <w:rFonts w:ascii="Calibri" w:hAnsi="Calibri"/>
        </w:rPr>
        <w:t xml:space="preserve">through free and proactive extension services and advice. </w:t>
      </w:r>
      <w:r w:rsidR="00D207D7">
        <w:rPr>
          <w:rFonts w:ascii="Calibri" w:hAnsi="Calibri"/>
        </w:rPr>
        <w:t xml:space="preserve">Limit </w:t>
      </w:r>
      <w:r w:rsidRPr="006D4AB3">
        <w:rPr>
          <w:rFonts w:ascii="Calibri" w:hAnsi="Calibri"/>
        </w:rPr>
        <w:t xml:space="preserve">routine preventative use of antibiotics on livestock, and adopt a full ban on genetically modified crops </w:t>
      </w:r>
      <w:r w:rsidR="0038792D">
        <w:rPr>
          <w:rFonts w:ascii="Calibri" w:hAnsi="Calibri"/>
        </w:rPr>
        <w:t>across the UK</w:t>
      </w:r>
      <w:r w:rsidRPr="006D4AB3">
        <w:rPr>
          <w:rFonts w:ascii="Calibri" w:hAnsi="Calibri"/>
        </w:rPr>
        <w:t>.</w:t>
      </w:r>
      <w:r w:rsidR="00E97890">
        <w:rPr>
          <w:rFonts w:ascii="Calibri" w:hAnsi="Calibri"/>
        </w:rPr>
        <w:br/>
      </w:r>
    </w:p>
    <w:p w14:paraId="16BB2805" w14:textId="0C91E746" w:rsidR="00506EFF" w:rsidRPr="00877FE4" w:rsidRDefault="00F82F1E" w:rsidP="00897E04">
      <w:pPr>
        <w:ind w:firstLine="720"/>
        <w:rPr>
          <w:rFonts w:ascii="Calibri" w:hAnsi="Calibri"/>
          <w:b/>
          <w:color w:val="863AB8"/>
          <w:sz w:val="32"/>
        </w:rPr>
      </w:pPr>
      <w:r w:rsidRPr="00877FE4">
        <w:rPr>
          <w:rFonts w:ascii="Calibri" w:hAnsi="Calibri"/>
          <w:noProof/>
          <w:color w:val="863AB8"/>
          <w:sz w:val="24"/>
          <w:lang w:val="en-US"/>
        </w:rPr>
        <mc:AlternateContent>
          <mc:Choice Requires="wps">
            <w:drawing>
              <wp:anchor distT="0" distB="0" distL="114300" distR="114300" simplePos="0" relativeHeight="251688960" behindDoc="0" locked="0" layoutInCell="1" allowOverlap="1" wp14:anchorId="6A7147C8" wp14:editId="628C5859">
                <wp:simplePos x="0" y="0"/>
                <wp:positionH relativeFrom="margin">
                  <wp:align>left</wp:align>
                </wp:positionH>
                <wp:positionV relativeFrom="paragraph">
                  <wp:posOffset>9806</wp:posOffset>
                </wp:positionV>
                <wp:extent cx="11430" cy="4791075"/>
                <wp:effectExtent l="0" t="0" r="39370" b="9525"/>
                <wp:wrapNone/>
                <wp:docPr id="18" name="Straight Connector 18"/>
                <wp:cNvGraphicFramePr/>
                <a:graphic xmlns:a="http://schemas.openxmlformats.org/drawingml/2006/main">
                  <a:graphicData uri="http://schemas.microsoft.com/office/word/2010/wordprocessingShape">
                    <wps:wsp>
                      <wps:cNvCnPr/>
                      <wps:spPr>
                        <a:xfrm flipH="1">
                          <a:off x="0" y="0"/>
                          <a:ext cx="11430" cy="4791075"/>
                        </a:xfrm>
                        <a:prstGeom prst="line">
                          <a:avLst/>
                        </a:prstGeom>
                        <a:ln w="25400">
                          <a:solidFill>
                            <a:srgbClr val="722AB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3748FF" id="Straight Connector 18" o:spid="_x0000_s1026" style="position:absolute;flip:x;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" strokecolor="#722ab3" strokeweight="2pt">
                <v:stroke dashstyle="dash" joinstyle="miter"/>
                <w10:wrap anchorx="margin"/>
              </v:line>
            </w:pict>
          </mc:Fallback>
        </mc:AlternateContent>
      </w:r>
      <w:r w:rsidR="00506EFF" w:rsidRPr="00877FE4">
        <w:rPr>
          <w:rFonts w:ascii="Calibri" w:hAnsi="Calibri"/>
          <w:b/>
          <w:color w:val="863AB8"/>
          <w:sz w:val="32"/>
        </w:rPr>
        <w:t>Adequate:</w:t>
      </w:r>
      <w:r w:rsidR="00506EFF" w:rsidRPr="00877FE4">
        <w:rPr>
          <w:rFonts w:ascii="Calibri" w:hAnsi="Calibri"/>
          <w:b/>
          <w:i/>
          <w:color w:val="863AB8"/>
          <w:sz w:val="32"/>
        </w:rPr>
        <w:t xml:space="preserve"> </w:t>
      </w:r>
      <w:r w:rsidR="00506EFF" w:rsidRPr="00877FE4">
        <w:rPr>
          <w:rFonts w:ascii="Calibri" w:hAnsi="Calibri"/>
          <w:b/>
          <w:i/>
          <w:color w:val="863AB8"/>
          <w:sz w:val="32"/>
        </w:rPr>
        <w:tab/>
      </w:r>
      <w:r w:rsidR="00506EFF" w:rsidRPr="00877FE4">
        <w:rPr>
          <w:rFonts w:ascii="Calibri" w:hAnsi="Calibri"/>
          <w:b/>
          <w:color w:val="863AB8"/>
          <w:sz w:val="32"/>
        </w:rPr>
        <w:t>Culturally appropriate – choice &amp; dignity</w:t>
      </w:r>
    </w:p>
    <w:p w14:paraId="24FB06C2" w14:textId="2029EEA9" w:rsidR="00506EFF" w:rsidRPr="006D4AB3" w:rsidRDefault="00506EFF" w:rsidP="00897E04">
      <w:pPr>
        <w:ind w:left="720"/>
        <w:rPr>
          <w:rFonts w:ascii="Calibri" w:hAnsi="Calibri"/>
        </w:rPr>
      </w:pPr>
      <w:r w:rsidRPr="006D4AB3">
        <w:rPr>
          <w:rFonts w:ascii="Calibri" w:hAnsi="Calibri"/>
        </w:rPr>
        <w:t>The implications of the financial inaccessibility of food is that over a million people in the UK are accessing food through charitable donations and redirected supermarket surplus or waste foods.</w:t>
      </w:r>
      <w:r w:rsidRPr="006D4AB3">
        <w:rPr>
          <w:rStyle w:val="EndnoteReference"/>
          <w:rFonts w:ascii="Calibri" w:hAnsi="Calibri"/>
        </w:rPr>
        <w:endnoteReference w:id="123"/>
      </w:r>
      <w:r w:rsidRPr="006D4AB3">
        <w:rPr>
          <w:rFonts w:ascii="Calibri" w:hAnsi="Calibri"/>
        </w:rPr>
        <w:t xml:space="preserve"> </w:t>
      </w:r>
      <w:r w:rsidR="009E62AB">
        <w:rPr>
          <w:rFonts w:ascii="Calibri" w:hAnsi="Calibri"/>
        </w:rPr>
        <w:t xml:space="preserve"> </w:t>
      </w:r>
      <w:r w:rsidRPr="006D4AB3">
        <w:rPr>
          <w:rFonts w:ascii="Calibri" w:hAnsi="Calibri"/>
        </w:rPr>
        <w:t>Whilst charitable providers are certainly well meaning, reliance on food banks is not a culturally appropriate or fair means of accessing food in the UK or addressing food waste.</w:t>
      </w:r>
      <w:r w:rsidR="00A351B5">
        <w:rPr>
          <w:rStyle w:val="EndnoteReference"/>
          <w:rFonts w:ascii="Calibri" w:hAnsi="Calibri"/>
        </w:rPr>
        <w:endnoteReference w:id="124"/>
      </w:r>
      <w:r w:rsidRPr="006D4AB3">
        <w:rPr>
          <w:rFonts w:ascii="Calibri" w:hAnsi="Calibri"/>
        </w:rPr>
        <w:t xml:space="preserve"> In addition to the stigma and loss of dignity associated with relying on charitable food provision, individuals are deprived of food choice – especially people from minority ethnic backgrounds or people with specific dietary requirements. </w:t>
      </w:r>
    </w:p>
    <w:p w14:paraId="4D3F0A21" w14:textId="6FE46389" w:rsidR="00506EFF" w:rsidRPr="009E62AB" w:rsidRDefault="00506EFF" w:rsidP="009E62AB">
      <w:pPr>
        <w:ind w:left="720"/>
        <w:rPr>
          <w:rFonts w:ascii="Calibri" w:hAnsi="Calibri"/>
        </w:rPr>
      </w:pPr>
      <w:r w:rsidRPr="006D4AB3">
        <w:rPr>
          <w:rFonts w:ascii="Calibri" w:hAnsi="Calibri"/>
        </w:rPr>
        <w:t xml:space="preserve">The </w:t>
      </w:r>
      <w:r w:rsidR="009E62AB">
        <w:rPr>
          <w:rFonts w:ascii="Calibri" w:hAnsi="Calibri"/>
        </w:rPr>
        <w:t>discretionary Social Fund</w:t>
      </w:r>
      <w:r w:rsidR="007279E8">
        <w:rPr>
          <w:rFonts w:ascii="Calibri" w:hAnsi="Calibri"/>
        </w:rPr>
        <w:t>,</w:t>
      </w:r>
      <w:r w:rsidR="009E62AB">
        <w:rPr>
          <w:rFonts w:ascii="Calibri" w:hAnsi="Calibri"/>
        </w:rPr>
        <w:t xml:space="preserve"> which </w:t>
      </w:r>
      <w:r w:rsidRPr="006D4AB3">
        <w:rPr>
          <w:rFonts w:ascii="Calibri" w:hAnsi="Calibri"/>
        </w:rPr>
        <w:t>provi</w:t>
      </w:r>
      <w:r w:rsidR="007279E8">
        <w:rPr>
          <w:rFonts w:ascii="Calibri" w:hAnsi="Calibri"/>
        </w:rPr>
        <w:t>ded emergency financial support</w:t>
      </w:r>
      <w:r w:rsidRPr="006D4AB3">
        <w:rPr>
          <w:rFonts w:ascii="Calibri" w:hAnsi="Calibri"/>
        </w:rPr>
        <w:t xml:space="preserve"> including to</w:t>
      </w:r>
      <w:r w:rsidR="009E62AB">
        <w:rPr>
          <w:rFonts w:ascii="Calibri" w:hAnsi="Calibri"/>
        </w:rPr>
        <w:t xml:space="preserve"> access food, </w:t>
      </w:r>
      <w:r w:rsidRPr="006D4AB3">
        <w:rPr>
          <w:rFonts w:ascii="Calibri" w:hAnsi="Calibri"/>
        </w:rPr>
        <w:t xml:space="preserve">was abolished </w:t>
      </w:r>
      <w:r w:rsidR="009E62AB">
        <w:rPr>
          <w:rFonts w:ascii="Calibri" w:hAnsi="Calibri"/>
        </w:rPr>
        <w:t xml:space="preserve">in 2012 </w:t>
      </w:r>
      <w:r w:rsidR="007279E8">
        <w:rPr>
          <w:rFonts w:ascii="Calibri" w:hAnsi="Calibri"/>
        </w:rPr>
        <w:t>and</w:t>
      </w:r>
      <w:r w:rsidR="009E62AB">
        <w:rPr>
          <w:rFonts w:ascii="Calibri" w:hAnsi="Calibri"/>
        </w:rPr>
        <w:t xml:space="preserve"> non-ring-fenced funding devolved to local authorities and </w:t>
      </w:r>
      <w:r w:rsidR="007279E8">
        <w:rPr>
          <w:rFonts w:ascii="Calibri" w:hAnsi="Calibri"/>
        </w:rPr>
        <w:t xml:space="preserve">the </w:t>
      </w:r>
      <w:r w:rsidR="009E62AB">
        <w:rPr>
          <w:rFonts w:ascii="Calibri" w:hAnsi="Calibri"/>
        </w:rPr>
        <w:t>devolved administrations</w:t>
      </w:r>
      <w:r w:rsidRPr="006D4AB3">
        <w:rPr>
          <w:rFonts w:ascii="Calibri" w:hAnsi="Calibri"/>
        </w:rPr>
        <w:t xml:space="preserve">. </w:t>
      </w:r>
      <w:r w:rsidRPr="00877FE4">
        <w:rPr>
          <w:rFonts w:ascii="Calibri" w:hAnsi="Calibri"/>
          <w:color w:val="3366FF"/>
        </w:rPr>
        <w:t>The Scottish Government protected discretionary grants through the Scottish Welfare Fund.</w:t>
      </w:r>
      <w:r w:rsidRPr="00877FE4">
        <w:rPr>
          <w:rStyle w:val="EndnoteReference"/>
          <w:rFonts w:ascii="Calibri" w:hAnsi="Calibri"/>
          <w:color w:val="3366FF"/>
        </w:rPr>
        <w:endnoteReference w:id="125"/>
      </w:r>
      <w:r w:rsidRPr="00877FE4">
        <w:rPr>
          <w:rFonts w:ascii="Calibri" w:hAnsi="Calibri"/>
          <w:color w:val="3366FF"/>
        </w:rPr>
        <w:t xml:space="preserve"> There are two grants which do not have to be repaid; Crisis Grants address immediate financial threats to personal health and safety including food poverty, and Community Care Grants enables people to live independently including one-off fixed costs such as a cooker. The process of applying to the Fund can be inaccessible; means-tested applications are made to local authorities, but can currently only be made online or by telephone. Applications are usually made when a person is already in crisis meaning they may not receive support for an additional 15 days whilst their application is processed. </w:t>
      </w:r>
    </w:p>
    <w:p w14:paraId="06748309" w14:textId="5DCC6BF2" w:rsidR="00506EFF" w:rsidRPr="00877FE4" w:rsidRDefault="00506EFF" w:rsidP="00897E04">
      <w:pPr>
        <w:ind w:left="720"/>
        <w:rPr>
          <w:rFonts w:ascii="Calibri" w:hAnsi="Calibri"/>
          <w:color w:val="3366FF"/>
        </w:rPr>
      </w:pPr>
      <w:r w:rsidRPr="00877FE4">
        <w:rPr>
          <w:rFonts w:ascii="Calibri" w:hAnsi="Calibri"/>
          <w:color w:val="3366FF"/>
        </w:rPr>
        <w:t>North Lanarkshire Council has sought to ensure that everyone potentially eligible for the Fund is informed of it by developing cross-sectorial referr</w:t>
      </w:r>
      <w:r w:rsidR="00AF7704">
        <w:rPr>
          <w:rFonts w:ascii="Calibri" w:hAnsi="Calibri"/>
          <w:color w:val="3366FF"/>
        </w:rPr>
        <w:t>al pathways directly to the Fund</w:t>
      </w:r>
      <w:r w:rsidRPr="00877FE4">
        <w:rPr>
          <w:rFonts w:ascii="Calibri" w:hAnsi="Calibri"/>
          <w:color w:val="3366FF"/>
        </w:rPr>
        <w:t>.</w:t>
      </w:r>
      <w:r w:rsidRPr="00877FE4">
        <w:rPr>
          <w:rStyle w:val="EndnoteReference"/>
          <w:rFonts w:ascii="Calibri" w:hAnsi="Calibri"/>
          <w:color w:val="3366FF"/>
        </w:rPr>
        <w:endnoteReference w:id="126"/>
      </w:r>
      <w:r w:rsidRPr="00877FE4">
        <w:rPr>
          <w:rFonts w:ascii="Calibri" w:hAnsi="Calibri"/>
          <w:color w:val="3366FF"/>
        </w:rPr>
        <w:t xml:space="preserve"> The Fund then acts as a hub in turn referring to other relevant service providers including food banks. Whilst a positive step towards integrating services there has been </w:t>
      </w:r>
      <w:r w:rsidR="00AF7704">
        <w:rPr>
          <w:rFonts w:ascii="Calibri" w:hAnsi="Calibri"/>
          <w:color w:val="3366FF"/>
        </w:rPr>
        <w:t xml:space="preserve">some </w:t>
      </w:r>
      <w:r w:rsidRPr="00877FE4">
        <w:rPr>
          <w:rFonts w:ascii="Calibri" w:hAnsi="Calibri"/>
          <w:color w:val="3366FF"/>
        </w:rPr>
        <w:t xml:space="preserve">evidence of this acting as a barrier </w:t>
      </w:r>
      <w:r w:rsidR="00AF7704">
        <w:rPr>
          <w:rFonts w:ascii="Calibri" w:hAnsi="Calibri"/>
          <w:color w:val="3366FF"/>
        </w:rPr>
        <w:t>to accessing food urgently</w:t>
      </w:r>
      <w:r w:rsidRPr="00877FE4">
        <w:rPr>
          <w:rFonts w:ascii="Calibri" w:hAnsi="Calibri"/>
          <w:color w:val="3366FF"/>
        </w:rPr>
        <w:t>.</w:t>
      </w:r>
      <w:r w:rsidRPr="00877FE4">
        <w:rPr>
          <w:rStyle w:val="EndnoteReference"/>
          <w:rFonts w:ascii="Calibri" w:hAnsi="Calibri"/>
          <w:color w:val="3366FF"/>
        </w:rPr>
        <w:endnoteReference w:id="127"/>
      </w:r>
      <w:r w:rsidR="00775D06">
        <w:rPr>
          <w:rFonts w:ascii="Calibri" w:hAnsi="Calibri"/>
          <w:color w:val="3366FF"/>
        </w:rPr>
        <w:t xml:space="preserve"> </w:t>
      </w:r>
    </w:p>
    <w:p w14:paraId="3ED3AB17" w14:textId="70241542" w:rsidR="00506EFF" w:rsidRPr="006D4AB3" w:rsidRDefault="00AF7704" w:rsidP="00897E04">
      <w:pPr>
        <w:ind w:left="720"/>
        <w:rPr>
          <w:rFonts w:ascii="Calibri" w:hAnsi="Calibri"/>
        </w:rPr>
      </w:pPr>
      <w:r>
        <w:rPr>
          <w:rFonts w:ascii="Calibri" w:hAnsi="Calibri"/>
        </w:rPr>
        <w:t>The l</w:t>
      </w:r>
      <w:r w:rsidR="00506EFF" w:rsidRPr="006D4AB3">
        <w:rPr>
          <w:rFonts w:ascii="Calibri" w:hAnsi="Calibri"/>
        </w:rPr>
        <w:t>ack of culturally appropriate food has also been raised as a cause for concern in health and soc</w:t>
      </w:r>
      <w:r>
        <w:rPr>
          <w:rFonts w:ascii="Calibri" w:hAnsi="Calibri"/>
        </w:rPr>
        <w:t>ial care settings across the UK.</w:t>
      </w:r>
      <w:r w:rsidR="00506EFF" w:rsidRPr="006D4AB3">
        <w:rPr>
          <w:rFonts w:ascii="Calibri" w:hAnsi="Calibri"/>
        </w:rPr>
        <w:t xml:space="preserve"> </w:t>
      </w:r>
      <w:r>
        <w:rPr>
          <w:rFonts w:ascii="Calibri" w:hAnsi="Calibri"/>
          <w:color w:val="3366FF"/>
        </w:rPr>
        <w:t>I</w:t>
      </w:r>
      <w:r w:rsidR="00506EFF" w:rsidRPr="00877FE4">
        <w:rPr>
          <w:rFonts w:ascii="Calibri" w:hAnsi="Calibri"/>
          <w:color w:val="3366FF"/>
        </w:rPr>
        <w:t>n Scotland</w:t>
      </w:r>
      <w:r>
        <w:rPr>
          <w:rFonts w:ascii="Calibri" w:hAnsi="Calibri"/>
          <w:color w:val="3366FF"/>
        </w:rPr>
        <w:t>,</w:t>
      </w:r>
      <w:r w:rsidR="00506EFF" w:rsidRPr="00877FE4">
        <w:rPr>
          <w:rFonts w:ascii="Calibri" w:hAnsi="Calibri"/>
          <w:color w:val="3366FF"/>
        </w:rPr>
        <w:t xml:space="preserve"> </w:t>
      </w:r>
      <w:r>
        <w:rPr>
          <w:rFonts w:ascii="Calibri" w:hAnsi="Calibri"/>
          <w:color w:val="3366FF"/>
        </w:rPr>
        <w:t>i</w:t>
      </w:r>
      <w:r w:rsidR="00506EFF" w:rsidRPr="00877FE4">
        <w:rPr>
          <w:rFonts w:ascii="Calibri" w:hAnsi="Calibri"/>
          <w:color w:val="3366FF"/>
        </w:rPr>
        <w:t>nspection report</w:t>
      </w:r>
      <w:r w:rsidR="007279E8">
        <w:rPr>
          <w:rFonts w:ascii="Calibri" w:hAnsi="Calibri"/>
          <w:color w:val="3366FF"/>
        </w:rPr>
        <w:t>s show</w:t>
      </w:r>
      <w:r w:rsidR="00506EFF" w:rsidRPr="00877FE4">
        <w:rPr>
          <w:rFonts w:ascii="Calibri" w:hAnsi="Calibri"/>
          <w:color w:val="3366FF"/>
        </w:rPr>
        <w:t xml:space="preserve"> that many complaints on nutrition have been upheld, but the information is not further disaggregated</w:t>
      </w:r>
      <w:r w:rsidR="00506EFF" w:rsidRPr="00877FE4">
        <w:rPr>
          <w:rFonts w:ascii="Calibri" w:hAnsi="Calibri"/>
          <w:color w:val="0000FF"/>
        </w:rPr>
        <w:t>.</w:t>
      </w:r>
      <w:r w:rsidR="00506EFF" w:rsidRPr="00877FE4">
        <w:rPr>
          <w:rStyle w:val="EndnoteReference"/>
          <w:rFonts w:ascii="Calibri" w:hAnsi="Calibri"/>
          <w:color w:val="3366FF"/>
        </w:rPr>
        <w:endnoteReference w:id="128"/>
      </w:r>
      <w:r w:rsidR="000138D9">
        <w:rPr>
          <w:rFonts w:ascii="Calibri" w:hAnsi="Calibri"/>
          <w:color w:val="0000FF"/>
        </w:rPr>
        <w:br/>
      </w:r>
    </w:p>
    <w:p w14:paraId="0759AA21" w14:textId="7F922B44" w:rsidR="00506EFF" w:rsidRPr="006D4AB3" w:rsidRDefault="00506EFF" w:rsidP="008603E6">
      <w:pPr>
        <w:ind w:left="2160" w:hanging="2160"/>
        <w:rPr>
          <w:rFonts w:ascii="Calibri" w:hAnsi="Calibri"/>
        </w:rPr>
      </w:pPr>
      <w:r w:rsidRPr="006D4AB3">
        <w:rPr>
          <w:rFonts w:ascii="Calibri" w:hAnsi="Calibri"/>
          <w:b/>
        </w:rPr>
        <w:t xml:space="preserve">Recommendation </w:t>
      </w:r>
      <w:r w:rsidR="008970A3" w:rsidRPr="006D4AB3">
        <w:rPr>
          <w:rFonts w:ascii="Calibri" w:hAnsi="Calibri"/>
          <w:b/>
        </w:rPr>
        <w:t>11</w:t>
      </w:r>
      <w:r w:rsidRPr="006D4AB3">
        <w:rPr>
          <w:rFonts w:ascii="Calibri" w:hAnsi="Calibri"/>
        </w:rPr>
        <w:t xml:space="preserve">: </w:t>
      </w:r>
      <w:r w:rsidRPr="006D4AB3">
        <w:rPr>
          <w:rFonts w:ascii="Calibri" w:hAnsi="Calibri"/>
        </w:rPr>
        <w:tab/>
        <w:t xml:space="preserve">Develop an early warning mechanism to alert relevant public service providers of people whose income falls below the minimum required for an adequate standard of living, including access to food, </w:t>
      </w:r>
      <w:r w:rsidRPr="00AF7704">
        <w:rPr>
          <w:rFonts w:ascii="Calibri" w:hAnsi="Calibri"/>
        </w:rPr>
        <w:t>and take immediate action to support through crisis grants and vouchers. Provide</w:t>
      </w:r>
      <w:r w:rsidRPr="006D4AB3">
        <w:rPr>
          <w:rFonts w:ascii="Calibri" w:hAnsi="Calibri"/>
        </w:rPr>
        <w:t xml:space="preserve"> a comprehensive person-centred service including independent financial and practical advice on resolving the cause of income crisis and preventing chronic crisis.</w:t>
      </w:r>
      <w:r w:rsidR="009C6124">
        <w:rPr>
          <w:rFonts w:ascii="Calibri" w:hAnsi="Calibri"/>
        </w:rPr>
        <w:t xml:space="preserve"> Invest in community-based alternatives to food bank</w:t>
      </w:r>
      <w:r w:rsidR="007279E8">
        <w:rPr>
          <w:rFonts w:ascii="Calibri" w:hAnsi="Calibri"/>
        </w:rPr>
        <w:t>s including community food hubs – to act</w:t>
      </w:r>
      <w:r w:rsidR="009C6124">
        <w:rPr>
          <w:rFonts w:ascii="Calibri" w:hAnsi="Calibri"/>
        </w:rPr>
        <w:t xml:space="preserve"> primarily as </w:t>
      </w:r>
      <w:r w:rsidR="007F19F4">
        <w:rPr>
          <w:rFonts w:ascii="Calibri" w:hAnsi="Calibri"/>
        </w:rPr>
        <w:t>spaces for local food and culture and</w:t>
      </w:r>
      <w:r w:rsidR="007279E8">
        <w:rPr>
          <w:rFonts w:ascii="Calibri" w:hAnsi="Calibri"/>
        </w:rPr>
        <w:t xml:space="preserve"> also</w:t>
      </w:r>
      <w:r w:rsidR="007F19F4">
        <w:rPr>
          <w:rFonts w:ascii="Calibri" w:hAnsi="Calibri"/>
        </w:rPr>
        <w:t xml:space="preserve"> offer discreet nutritious emergency support with dignity and choice.</w:t>
      </w:r>
      <w:r w:rsidR="007F19F4">
        <w:rPr>
          <w:rFonts w:ascii="Calibri" w:hAnsi="Calibri"/>
        </w:rPr>
        <w:br/>
        <w:t xml:space="preserve">Monitor </w:t>
      </w:r>
      <w:r w:rsidRPr="006D4AB3">
        <w:rPr>
          <w:rFonts w:ascii="Calibri" w:hAnsi="Calibri"/>
        </w:rPr>
        <w:t>cultural appropriateness of food in health and social care, publish findings and best practice</w:t>
      </w:r>
      <w:r w:rsidR="007F19F4">
        <w:rPr>
          <w:rFonts w:ascii="Calibri" w:hAnsi="Calibri"/>
        </w:rPr>
        <w:t xml:space="preserve"> and take action to resolve shortcomings</w:t>
      </w:r>
      <w:r w:rsidRPr="006D4AB3">
        <w:rPr>
          <w:rFonts w:ascii="Calibri" w:hAnsi="Calibri"/>
        </w:rPr>
        <w:t xml:space="preserve">. </w:t>
      </w:r>
    </w:p>
    <w:p w14:paraId="07B212D3" w14:textId="446167F6" w:rsidR="00E97890" w:rsidRDefault="00E97890" w:rsidP="00AF7704">
      <w:pPr>
        <w:ind w:left="720"/>
        <w:rPr>
          <w:rFonts w:ascii="Calibri" w:hAnsi="Calibri"/>
          <w:b/>
          <w:color w:val="538135" w:themeColor="accent6" w:themeShade="BF"/>
          <w:sz w:val="32"/>
        </w:rPr>
      </w:pPr>
    </w:p>
    <w:p w14:paraId="5AF148CB" w14:textId="67C9A565" w:rsidR="00506EFF" w:rsidRPr="006D4AB3" w:rsidRDefault="0038792D" w:rsidP="00AF7704">
      <w:pPr>
        <w:ind w:left="720"/>
        <w:rPr>
          <w:rFonts w:ascii="Calibri" w:hAnsi="Calibri"/>
          <w:b/>
          <w:color w:val="538135" w:themeColor="accent6" w:themeShade="BF"/>
          <w:sz w:val="32"/>
        </w:rPr>
      </w:pPr>
      <w:r w:rsidRPr="006D4AB3">
        <w:rPr>
          <w:rFonts w:ascii="Calibri" w:hAnsi="Calibri"/>
          <w:noProof/>
          <w:color w:val="FF0000"/>
          <w:lang w:val="en-US"/>
        </w:rPr>
        <w:lastRenderedPageBreak/>
        <mc:AlternateContent>
          <mc:Choice Requires="wps">
            <w:drawing>
              <wp:anchor distT="0" distB="0" distL="114300" distR="114300" simplePos="0" relativeHeight="251701248" behindDoc="0" locked="0" layoutInCell="1" allowOverlap="1" wp14:anchorId="66B38F02" wp14:editId="04FA8CC9">
                <wp:simplePos x="0" y="0"/>
                <wp:positionH relativeFrom="leftMargin">
                  <wp:posOffset>540385</wp:posOffset>
                </wp:positionH>
                <wp:positionV relativeFrom="paragraph">
                  <wp:posOffset>0</wp:posOffset>
                </wp:positionV>
                <wp:extent cx="0" cy="5372100"/>
                <wp:effectExtent l="0" t="0" r="25400" b="12700"/>
                <wp:wrapNone/>
                <wp:docPr id="24" name="Straight Connector 24"/>
                <wp:cNvGraphicFramePr/>
                <a:graphic xmlns:a="http://schemas.openxmlformats.org/drawingml/2006/main">
                  <a:graphicData uri="http://schemas.microsoft.com/office/word/2010/wordprocessingShape">
                    <wps:wsp>
                      <wps:cNvCnPr/>
                      <wps:spPr>
                        <a:xfrm>
                          <a:off x="0" y="0"/>
                          <a:ext cx="0" cy="5372100"/>
                        </a:xfrm>
                        <a:prstGeom prst="line">
                          <a:avLst/>
                        </a:prstGeom>
                        <a:ln w="25400">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25347E"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5pt,0" to="42.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" strokecolor="#70ad47 [3209]" strokeweight="2pt">
                <v:stroke dashstyle="dash" joinstyle="miter"/>
                <w10:wrap anchorx="margin"/>
              </v:line>
            </w:pict>
          </mc:Fallback>
        </mc:AlternateContent>
      </w:r>
      <w:r w:rsidR="00506EFF" w:rsidRPr="006D4AB3">
        <w:rPr>
          <w:rFonts w:ascii="Calibri" w:hAnsi="Calibri"/>
          <w:b/>
          <w:color w:val="538135" w:themeColor="accent6" w:themeShade="BF"/>
          <w:sz w:val="32"/>
        </w:rPr>
        <w:t>Available</w:t>
      </w:r>
      <w:r w:rsidR="00373144" w:rsidRPr="006D4AB3">
        <w:rPr>
          <w:rFonts w:ascii="Calibri" w:hAnsi="Calibri"/>
          <w:b/>
          <w:color w:val="538135" w:themeColor="accent6" w:themeShade="BF"/>
          <w:sz w:val="32"/>
        </w:rPr>
        <w:t xml:space="preserve">: </w:t>
      </w:r>
      <w:r w:rsidR="00373144" w:rsidRPr="006D4AB3">
        <w:rPr>
          <w:rFonts w:ascii="Calibri" w:hAnsi="Calibri"/>
          <w:b/>
          <w:color w:val="538135" w:themeColor="accent6" w:themeShade="BF"/>
          <w:sz w:val="32"/>
        </w:rPr>
        <w:tab/>
      </w:r>
      <w:r w:rsidR="00373144" w:rsidRPr="006D4AB3">
        <w:rPr>
          <w:rFonts w:ascii="Calibri" w:hAnsi="Calibri"/>
          <w:b/>
          <w:color w:val="538135" w:themeColor="accent6" w:themeShade="BF"/>
          <w:sz w:val="32"/>
        </w:rPr>
        <w:tab/>
      </w:r>
      <w:r w:rsidR="00506EFF" w:rsidRPr="006D4AB3">
        <w:rPr>
          <w:rFonts w:ascii="Calibri" w:hAnsi="Calibri"/>
          <w:b/>
          <w:color w:val="538135" w:themeColor="accent6" w:themeShade="BF"/>
          <w:sz w:val="32"/>
        </w:rPr>
        <w:t>Land and other resources</w:t>
      </w:r>
    </w:p>
    <w:p w14:paraId="27B5C509" w14:textId="53A08AB9" w:rsidR="009B4279" w:rsidRPr="006D4AB3" w:rsidRDefault="007F4250" w:rsidP="0028121D">
      <w:pPr>
        <w:ind w:left="720"/>
        <w:rPr>
          <w:rFonts w:ascii="Calibri" w:hAnsi="Calibri"/>
        </w:rPr>
      </w:pPr>
      <w:r w:rsidRPr="006D4AB3">
        <w:rPr>
          <w:rFonts w:ascii="Calibri" w:hAnsi="Calibri"/>
        </w:rPr>
        <w:t xml:space="preserve">Agriculture accounts for 71% of </w:t>
      </w:r>
      <w:r w:rsidR="004265CE" w:rsidRPr="006D4AB3">
        <w:rPr>
          <w:rFonts w:ascii="Calibri" w:hAnsi="Calibri"/>
        </w:rPr>
        <w:t>UK land use, though a</w:t>
      </w:r>
      <w:r w:rsidR="00E13ABD" w:rsidRPr="006D4AB3">
        <w:rPr>
          <w:rFonts w:ascii="Calibri" w:hAnsi="Calibri"/>
        </w:rPr>
        <w:t>ccess to land to grow in the UK, both in rural and urban areas, has been in steady decline since the Second World War.</w:t>
      </w:r>
      <w:r w:rsidR="009B4279" w:rsidRPr="006D4AB3">
        <w:rPr>
          <w:rFonts w:ascii="Calibri" w:hAnsi="Calibri"/>
        </w:rPr>
        <w:t xml:space="preserve"> </w:t>
      </w:r>
      <w:r w:rsidR="008A5F47" w:rsidRPr="006D4AB3">
        <w:rPr>
          <w:rFonts w:ascii="Calibri" w:hAnsi="Calibri"/>
        </w:rPr>
        <w:t>Access to land</w:t>
      </w:r>
      <w:r w:rsidR="009B4279" w:rsidRPr="006D4AB3">
        <w:rPr>
          <w:rFonts w:ascii="Calibri" w:hAnsi="Calibri"/>
        </w:rPr>
        <w:t xml:space="preserve"> is dominated by the question of land </w:t>
      </w:r>
      <w:r w:rsidR="00680CBA" w:rsidRPr="006D4AB3">
        <w:rPr>
          <w:rFonts w:ascii="Calibri" w:hAnsi="Calibri"/>
        </w:rPr>
        <w:t xml:space="preserve">affordability; with high prices inflated by land use speculation </w:t>
      </w:r>
      <w:r w:rsidR="00680CBA" w:rsidRPr="006D4AB3">
        <w:rPr>
          <w:rFonts w:ascii="Calibri" w:hAnsi="Calibri"/>
          <w:b/>
        </w:rPr>
        <w:t>making land ownership prohibitively expensive for most new entrants</w:t>
      </w:r>
      <w:r w:rsidR="00680CBA" w:rsidRPr="006D4AB3">
        <w:rPr>
          <w:rFonts w:ascii="Calibri" w:hAnsi="Calibri"/>
        </w:rPr>
        <w:t xml:space="preserve">. </w:t>
      </w:r>
      <w:r w:rsidR="00F57933">
        <w:rPr>
          <w:rFonts w:ascii="Calibri" w:hAnsi="Calibri"/>
        </w:rPr>
        <w:t>L</w:t>
      </w:r>
      <w:r w:rsidR="00680CBA" w:rsidRPr="006D4AB3">
        <w:rPr>
          <w:rFonts w:ascii="Calibri" w:hAnsi="Calibri"/>
        </w:rPr>
        <w:t xml:space="preserve">ow farm-gate prices </w:t>
      </w:r>
      <w:r w:rsidR="00F57933">
        <w:rPr>
          <w:rFonts w:ascii="Calibri" w:hAnsi="Calibri"/>
        </w:rPr>
        <w:t xml:space="preserve">have </w:t>
      </w:r>
      <w:r w:rsidR="00680CBA" w:rsidRPr="006D4AB3">
        <w:rPr>
          <w:rFonts w:ascii="Calibri" w:hAnsi="Calibri"/>
        </w:rPr>
        <w:t>push</w:t>
      </w:r>
      <w:r w:rsidR="00F57933">
        <w:rPr>
          <w:rFonts w:ascii="Calibri" w:hAnsi="Calibri"/>
        </w:rPr>
        <w:t>ed</w:t>
      </w:r>
      <w:r w:rsidR="00680CBA" w:rsidRPr="006D4AB3">
        <w:rPr>
          <w:rFonts w:ascii="Calibri" w:hAnsi="Calibri"/>
        </w:rPr>
        <w:t xml:space="preserve"> </w:t>
      </w:r>
      <w:r w:rsidR="00214918" w:rsidRPr="006D4AB3">
        <w:rPr>
          <w:rFonts w:ascii="Calibri" w:hAnsi="Calibri"/>
        </w:rPr>
        <w:t xml:space="preserve">many </w:t>
      </w:r>
      <w:r w:rsidR="00680CBA" w:rsidRPr="006D4AB3">
        <w:rPr>
          <w:rFonts w:ascii="Calibri" w:hAnsi="Calibri"/>
        </w:rPr>
        <w:t xml:space="preserve">producers to </w:t>
      </w:r>
      <w:r w:rsidR="00F57933">
        <w:rPr>
          <w:rFonts w:ascii="Calibri" w:hAnsi="Calibri"/>
        </w:rPr>
        <w:t xml:space="preserve">closure with the result being </w:t>
      </w:r>
      <w:r w:rsidR="003F1404" w:rsidRPr="006D4AB3">
        <w:rPr>
          <w:rFonts w:ascii="Calibri" w:hAnsi="Calibri"/>
        </w:rPr>
        <w:t xml:space="preserve">fewer, </w:t>
      </w:r>
      <w:r w:rsidR="00680CBA" w:rsidRPr="006D4AB3">
        <w:rPr>
          <w:rFonts w:ascii="Calibri" w:hAnsi="Calibri"/>
        </w:rPr>
        <w:t>larger fa</w:t>
      </w:r>
      <w:r w:rsidR="003F1404" w:rsidRPr="006D4AB3">
        <w:rPr>
          <w:rFonts w:ascii="Calibri" w:hAnsi="Calibri"/>
        </w:rPr>
        <w:t xml:space="preserve">rms in which production is increasingly mechanised and intensified. Over the last decade </w:t>
      </w:r>
      <w:r w:rsidR="003F1404" w:rsidRPr="006D4AB3">
        <w:rPr>
          <w:rFonts w:ascii="Calibri" w:hAnsi="Calibri"/>
          <w:b/>
        </w:rPr>
        <w:t xml:space="preserve">the number of UK holdings has decreased from </w:t>
      </w:r>
      <w:r w:rsidR="00CA22C6" w:rsidRPr="006D4AB3">
        <w:rPr>
          <w:rFonts w:ascii="Calibri" w:hAnsi="Calibri"/>
          <w:b/>
        </w:rPr>
        <w:t>307,100</w:t>
      </w:r>
      <w:r w:rsidR="003F1404" w:rsidRPr="006D4AB3">
        <w:rPr>
          <w:rFonts w:ascii="Calibri" w:hAnsi="Calibri"/>
          <w:b/>
        </w:rPr>
        <w:t xml:space="preserve"> to 212,000</w:t>
      </w:r>
      <w:r w:rsidR="003F1404" w:rsidRPr="006D4AB3">
        <w:rPr>
          <w:rFonts w:ascii="Calibri" w:hAnsi="Calibri"/>
        </w:rPr>
        <w:t xml:space="preserve"> and the average size increased from </w:t>
      </w:r>
      <w:r w:rsidR="00002D73" w:rsidRPr="006D4AB3">
        <w:rPr>
          <w:rFonts w:ascii="Calibri" w:hAnsi="Calibri"/>
        </w:rPr>
        <w:t>55</w:t>
      </w:r>
      <w:r w:rsidR="00CA22C6" w:rsidRPr="006D4AB3">
        <w:rPr>
          <w:rFonts w:ascii="Calibri" w:hAnsi="Calibri"/>
        </w:rPr>
        <w:t xml:space="preserve"> hectares to</w:t>
      </w:r>
      <w:r w:rsidR="003F1404" w:rsidRPr="006D4AB3">
        <w:rPr>
          <w:rFonts w:ascii="Calibri" w:hAnsi="Calibri"/>
        </w:rPr>
        <w:t xml:space="preserve"> 81 </w:t>
      </w:r>
      <w:r w:rsidR="00680CBA" w:rsidRPr="006D4AB3">
        <w:rPr>
          <w:rFonts w:ascii="Calibri" w:hAnsi="Calibri"/>
        </w:rPr>
        <w:t xml:space="preserve">(much </w:t>
      </w:r>
      <w:r w:rsidR="00CA22C6" w:rsidRPr="006D4AB3">
        <w:rPr>
          <w:rFonts w:ascii="Calibri" w:hAnsi="Calibri"/>
        </w:rPr>
        <w:t>larger</w:t>
      </w:r>
      <w:r w:rsidR="003F1404" w:rsidRPr="006D4AB3">
        <w:rPr>
          <w:rFonts w:ascii="Calibri" w:hAnsi="Calibri"/>
        </w:rPr>
        <w:t xml:space="preserve"> than</w:t>
      </w:r>
      <w:r w:rsidR="00680CBA" w:rsidRPr="006D4AB3">
        <w:rPr>
          <w:rFonts w:ascii="Calibri" w:hAnsi="Calibri"/>
        </w:rPr>
        <w:t xml:space="preserve"> the EU average of </w:t>
      </w:r>
      <w:r w:rsidR="00CA22C6" w:rsidRPr="006D4AB3">
        <w:rPr>
          <w:rFonts w:ascii="Calibri" w:hAnsi="Calibri"/>
        </w:rPr>
        <w:t xml:space="preserve">16 hectares, and </w:t>
      </w:r>
      <w:r w:rsidR="00F57933">
        <w:rPr>
          <w:rFonts w:ascii="Calibri" w:hAnsi="Calibri"/>
          <w:color w:val="3366FF"/>
        </w:rPr>
        <w:t>with significant</w:t>
      </w:r>
      <w:r w:rsidR="00E901FF">
        <w:rPr>
          <w:rFonts w:ascii="Calibri" w:hAnsi="Calibri"/>
          <w:color w:val="3366FF"/>
        </w:rPr>
        <w:t>ly</w:t>
      </w:r>
      <w:r w:rsidR="000138D9">
        <w:rPr>
          <w:rFonts w:ascii="Calibri" w:hAnsi="Calibri"/>
          <w:color w:val="3366FF"/>
        </w:rPr>
        <w:t xml:space="preserve"> larger averages in Scotland – distorted by </w:t>
      </w:r>
      <w:r w:rsidR="00F57933">
        <w:rPr>
          <w:rFonts w:ascii="Calibri" w:hAnsi="Calibri"/>
          <w:color w:val="3366FF"/>
        </w:rPr>
        <w:t>large estates</w:t>
      </w:r>
      <w:r w:rsidR="00680CBA" w:rsidRPr="006D4AB3">
        <w:rPr>
          <w:rFonts w:ascii="Calibri" w:hAnsi="Calibri"/>
        </w:rPr>
        <w:t>).</w:t>
      </w:r>
      <w:r w:rsidR="003F1404" w:rsidRPr="006D4AB3">
        <w:rPr>
          <w:rStyle w:val="EndnoteReference"/>
          <w:rFonts w:ascii="Calibri" w:hAnsi="Calibri"/>
        </w:rPr>
        <w:endnoteReference w:id="129"/>
      </w:r>
    </w:p>
    <w:p w14:paraId="0354BF9E" w14:textId="67B36229" w:rsidR="00214918" w:rsidRPr="006D4AB3" w:rsidRDefault="00AD3FAC" w:rsidP="00B44D66">
      <w:pPr>
        <w:ind w:left="720"/>
        <w:rPr>
          <w:rFonts w:ascii="Calibri" w:hAnsi="Calibri"/>
          <w:color w:val="4472C4" w:themeColor="accent5"/>
        </w:rPr>
      </w:pPr>
      <w:r w:rsidRPr="006D4AB3">
        <w:rPr>
          <w:rFonts w:ascii="Calibri" w:hAnsi="Calibri"/>
        </w:rPr>
        <w:t>Tenant farmers operate around 30% of farms in the UK</w:t>
      </w:r>
      <w:r w:rsidR="00317BDF" w:rsidRPr="006D4AB3">
        <w:rPr>
          <w:rFonts w:ascii="Calibri" w:hAnsi="Calibri"/>
        </w:rPr>
        <w:t xml:space="preserve">. </w:t>
      </w:r>
      <w:r w:rsidR="00C5103A" w:rsidRPr="006D4AB3">
        <w:rPr>
          <w:rFonts w:ascii="Calibri" w:hAnsi="Calibri"/>
        </w:rPr>
        <w:t xml:space="preserve">This is one of the lowest rates in Europe and is in decline, largely believed to be because of the unfavourable </w:t>
      </w:r>
      <w:r w:rsidR="00317BDF" w:rsidRPr="006D4AB3">
        <w:rPr>
          <w:rFonts w:ascii="Calibri" w:hAnsi="Calibri"/>
        </w:rPr>
        <w:t xml:space="preserve">rental </w:t>
      </w:r>
      <w:r w:rsidR="00C5103A" w:rsidRPr="006D4AB3">
        <w:rPr>
          <w:rFonts w:ascii="Calibri" w:hAnsi="Calibri"/>
        </w:rPr>
        <w:t xml:space="preserve">conditions. </w:t>
      </w:r>
      <w:r w:rsidR="00517603" w:rsidRPr="00877FE4">
        <w:rPr>
          <w:rFonts w:ascii="Calibri" w:hAnsi="Calibri"/>
          <w:color w:val="3366FF"/>
        </w:rPr>
        <w:t>A central challenge</w:t>
      </w:r>
      <w:r w:rsidR="00214918" w:rsidRPr="00877FE4">
        <w:rPr>
          <w:rFonts w:ascii="Calibri" w:hAnsi="Calibri"/>
          <w:color w:val="3366FF"/>
        </w:rPr>
        <w:t xml:space="preserve"> across the UK – but the subject of recent legislative attention in Scotland – is </w:t>
      </w:r>
      <w:r w:rsidR="00317BDF" w:rsidRPr="00877FE4">
        <w:rPr>
          <w:rFonts w:ascii="Calibri" w:hAnsi="Calibri"/>
          <w:color w:val="3366FF"/>
        </w:rPr>
        <w:t xml:space="preserve">that </w:t>
      </w:r>
      <w:r w:rsidR="00C5103A" w:rsidRPr="00877FE4">
        <w:rPr>
          <w:rFonts w:ascii="Calibri" w:hAnsi="Calibri"/>
          <w:color w:val="3366FF"/>
        </w:rPr>
        <w:t>most new tenancies are relatively short t</w:t>
      </w:r>
      <w:r w:rsidR="00317BDF" w:rsidRPr="00877FE4">
        <w:rPr>
          <w:rFonts w:ascii="Calibri" w:hAnsi="Calibri"/>
          <w:color w:val="3366FF"/>
        </w:rPr>
        <w:t>erm and insecure</w:t>
      </w:r>
      <w:r w:rsidR="00214918" w:rsidRPr="00877FE4">
        <w:rPr>
          <w:rFonts w:ascii="Calibri" w:hAnsi="Calibri"/>
          <w:color w:val="3366FF"/>
        </w:rPr>
        <w:t>, with limited provision for tenants to buy the land they work. Amongst other things this makes it</w:t>
      </w:r>
      <w:r w:rsidR="00317BDF" w:rsidRPr="00877FE4">
        <w:rPr>
          <w:rFonts w:ascii="Calibri" w:hAnsi="Calibri"/>
          <w:color w:val="3366FF"/>
        </w:rPr>
        <w:t xml:space="preserve"> difficult</w:t>
      </w:r>
      <w:r w:rsidR="00214918" w:rsidRPr="00877FE4">
        <w:rPr>
          <w:rFonts w:ascii="Calibri" w:hAnsi="Calibri"/>
          <w:color w:val="3366FF"/>
        </w:rPr>
        <w:t xml:space="preserve"> for tenants to</w:t>
      </w:r>
      <w:r w:rsidR="00317BDF" w:rsidRPr="00877FE4">
        <w:rPr>
          <w:rFonts w:ascii="Calibri" w:hAnsi="Calibri"/>
          <w:color w:val="3366FF"/>
        </w:rPr>
        <w:t xml:space="preserve"> raise capital for equipment</w:t>
      </w:r>
      <w:r w:rsidR="00214918" w:rsidRPr="00877FE4">
        <w:rPr>
          <w:rFonts w:ascii="Calibri" w:hAnsi="Calibri"/>
          <w:color w:val="3366FF"/>
        </w:rPr>
        <w:t xml:space="preserve"> and farm diversification.</w:t>
      </w:r>
      <w:r w:rsidR="00317BDF" w:rsidRPr="00877FE4">
        <w:rPr>
          <w:rStyle w:val="EndnoteReference"/>
          <w:rFonts w:ascii="Calibri" w:hAnsi="Calibri"/>
          <w:color w:val="3366FF"/>
        </w:rPr>
        <w:endnoteReference w:id="130"/>
      </w:r>
      <w:r w:rsidR="00317BDF" w:rsidRPr="00877FE4">
        <w:rPr>
          <w:rFonts w:ascii="Calibri" w:hAnsi="Calibri"/>
          <w:color w:val="3366FF"/>
        </w:rPr>
        <w:t xml:space="preserve"> </w:t>
      </w:r>
      <w:r w:rsidR="00214918" w:rsidRPr="00877FE4">
        <w:rPr>
          <w:rFonts w:ascii="Calibri" w:hAnsi="Calibri"/>
          <w:color w:val="3366FF"/>
        </w:rPr>
        <w:t xml:space="preserve">The reforms made </w:t>
      </w:r>
      <w:r w:rsidR="00214918" w:rsidRPr="00877FE4">
        <w:rPr>
          <w:rFonts w:ascii="Calibri" w:hAnsi="Calibri"/>
          <w:b/>
          <w:color w:val="3366FF"/>
        </w:rPr>
        <w:t>have not fundamentally challenged the inequitable patterns of land ownership in Scotland</w:t>
      </w:r>
      <w:r w:rsidR="00214918" w:rsidRPr="00877FE4">
        <w:rPr>
          <w:rFonts w:ascii="Calibri" w:hAnsi="Calibri"/>
          <w:color w:val="3366FF"/>
        </w:rPr>
        <w:t xml:space="preserve">, </w:t>
      </w:r>
      <w:r w:rsidR="00AD05D3">
        <w:rPr>
          <w:rFonts w:ascii="Calibri" w:hAnsi="Calibri"/>
          <w:color w:val="3366FF"/>
        </w:rPr>
        <w:t>or brought much needed increases in</w:t>
      </w:r>
      <w:r w:rsidR="000138D9">
        <w:rPr>
          <w:rFonts w:ascii="Calibri" w:hAnsi="Calibri"/>
          <w:color w:val="3366FF"/>
        </w:rPr>
        <w:t xml:space="preserve"> transparency, but </w:t>
      </w:r>
      <w:r w:rsidR="00214918" w:rsidRPr="00877FE4">
        <w:rPr>
          <w:rFonts w:ascii="Calibri" w:hAnsi="Calibri"/>
          <w:color w:val="3366FF"/>
        </w:rPr>
        <w:t>have mostly made improvements to already secure tenancy agreements and strengthened provisions on community right to buy.</w:t>
      </w:r>
      <w:r w:rsidR="00214918" w:rsidRPr="006D4AB3">
        <w:rPr>
          <w:rStyle w:val="EndnoteReference"/>
          <w:rFonts w:ascii="Calibri" w:hAnsi="Calibri"/>
          <w:color w:val="4472C4" w:themeColor="accent5"/>
        </w:rPr>
        <w:endnoteReference w:id="131"/>
      </w:r>
    </w:p>
    <w:p w14:paraId="6547BF9A" w14:textId="63EFD86B" w:rsidR="00B44D66" w:rsidRPr="006D4AB3" w:rsidRDefault="00AD3FAC" w:rsidP="00B44D66">
      <w:pPr>
        <w:ind w:left="720"/>
        <w:rPr>
          <w:rFonts w:ascii="Calibri" w:hAnsi="Calibri"/>
          <w:color w:val="4472C4" w:themeColor="accent5"/>
        </w:rPr>
      </w:pPr>
      <w:r>
        <w:rPr>
          <w:rFonts w:ascii="Calibri" w:hAnsi="Calibri"/>
        </w:rPr>
        <w:t>Local authorities largely control a</w:t>
      </w:r>
      <w:r w:rsidR="00317BDF" w:rsidRPr="006D4AB3">
        <w:rPr>
          <w:rFonts w:ascii="Calibri" w:hAnsi="Calibri"/>
        </w:rPr>
        <w:t>ccess to land</w:t>
      </w:r>
      <w:r w:rsidR="00B44D66" w:rsidRPr="006D4AB3">
        <w:rPr>
          <w:rFonts w:ascii="Calibri" w:hAnsi="Calibri"/>
        </w:rPr>
        <w:t xml:space="preserve"> to grow</w:t>
      </w:r>
      <w:r w:rsidR="00317BDF" w:rsidRPr="006D4AB3">
        <w:rPr>
          <w:rFonts w:ascii="Calibri" w:hAnsi="Calibri"/>
        </w:rPr>
        <w:t xml:space="preserve"> in urban settings</w:t>
      </w:r>
      <w:r>
        <w:rPr>
          <w:rFonts w:ascii="Calibri" w:hAnsi="Calibri"/>
        </w:rPr>
        <w:t xml:space="preserve"> </w:t>
      </w:r>
      <w:r w:rsidR="00B44D66" w:rsidRPr="006D4AB3">
        <w:rPr>
          <w:rFonts w:ascii="Calibri" w:hAnsi="Calibri"/>
        </w:rPr>
        <w:t>in the form of allotments</w:t>
      </w:r>
      <w:r w:rsidR="00214918" w:rsidRPr="006D4AB3">
        <w:rPr>
          <w:rFonts w:ascii="Calibri" w:hAnsi="Calibri"/>
        </w:rPr>
        <w:t xml:space="preserve"> and community gardens</w:t>
      </w:r>
      <w:r w:rsidR="00B44D66" w:rsidRPr="006D4AB3">
        <w:rPr>
          <w:rFonts w:ascii="Calibri" w:hAnsi="Calibri"/>
        </w:rPr>
        <w:t xml:space="preserve">. Some authorities have allotment waiting lists of over 10 years, </w:t>
      </w:r>
      <w:r w:rsidR="00B44D66" w:rsidRPr="00877FE4">
        <w:rPr>
          <w:rFonts w:ascii="Calibri" w:hAnsi="Calibri"/>
          <w:color w:val="3366FF"/>
        </w:rPr>
        <w:t>though recent legislative reform</w:t>
      </w:r>
      <w:r w:rsidR="00214918" w:rsidRPr="00877FE4">
        <w:rPr>
          <w:rFonts w:ascii="Calibri" w:hAnsi="Calibri"/>
          <w:color w:val="3366FF"/>
        </w:rPr>
        <w:t>s</w:t>
      </w:r>
      <w:r w:rsidR="00B44D66" w:rsidRPr="00877FE4">
        <w:rPr>
          <w:rFonts w:ascii="Calibri" w:hAnsi="Calibri"/>
          <w:color w:val="3366FF"/>
        </w:rPr>
        <w:t xml:space="preserve"> in Scotland </w:t>
      </w:r>
      <w:r w:rsidR="00214918" w:rsidRPr="00877FE4">
        <w:rPr>
          <w:rFonts w:ascii="Calibri" w:hAnsi="Calibri"/>
          <w:color w:val="3366FF"/>
        </w:rPr>
        <w:t>are</w:t>
      </w:r>
      <w:r w:rsidR="00B44D66" w:rsidRPr="00877FE4">
        <w:rPr>
          <w:rFonts w:ascii="Calibri" w:hAnsi="Calibri"/>
          <w:color w:val="3366FF"/>
        </w:rPr>
        <w:t xml:space="preserve"> likely to significantly reduce this by requiring </w:t>
      </w:r>
      <w:r w:rsidR="00214918" w:rsidRPr="00877FE4">
        <w:rPr>
          <w:rFonts w:ascii="Calibri" w:hAnsi="Calibri"/>
          <w:color w:val="3366FF"/>
        </w:rPr>
        <w:t xml:space="preserve">local authorities to increase allotment provision and to develop </w:t>
      </w:r>
      <w:r w:rsidRPr="00877FE4">
        <w:rPr>
          <w:rFonts w:ascii="Calibri" w:hAnsi="Calibri"/>
          <w:color w:val="3366FF"/>
        </w:rPr>
        <w:t>food-growing</w:t>
      </w:r>
      <w:r w:rsidR="00214918" w:rsidRPr="00877FE4">
        <w:rPr>
          <w:rFonts w:ascii="Calibri" w:hAnsi="Calibri"/>
          <w:color w:val="3366FF"/>
        </w:rPr>
        <w:t xml:space="preserve"> strategies – with particular attention to impacting on areas with socio-economic disadvantage.</w:t>
      </w:r>
      <w:r w:rsidR="00214918" w:rsidRPr="006D4AB3">
        <w:rPr>
          <w:rStyle w:val="EndnoteReference"/>
          <w:rFonts w:ascii="Calibri" w:hAnsi="Calibri"/>
          <w:color w:val="4472C4" w:themeColor="accent5"/>
        </w:rPr>
        <w:endnoteReference w:id="132"/>
      </w:r>
    </w:p>
    <w:p w14:paraId="4D3C3AFC" w14:textId="588A2013" w:rsidR="008A5F47" w:rsidRPr="006D4AB3" w:rsidRDefault="000138D9" w:rsidP="000138D9">
      <w:pPr>
        <w:ind w:left="720"/>
        <w:rPr>
          <w:rFonts w:ascii="Calibri" w:hAnsi="Calibri"/>
        </w:rPr>
      </w:pPr>
      <w:r w:rsidRPr="000138D9">
        <w:rPr>
          <w:rFonts w:ascii="Calibri" w:hAnsi="Calibri"/>
          <w:color w:val="3366FF"/>
        </w:rPr>
        <w:t xml:space="preserve">Scotland’s inshore and territorial waters </w:t>
      </w:r>
      <w:r w:rsidR="00C401CA">
        <w:rPr>
          <w:rFonts w:ascii="Calibri" w:hAnsi="Calibri"/>
          <w:color w:val="3366FF"/>
        </w:rPr>
        <w:t>are deteriorating from over and high-imp</w:t>
      </w:r>
      <w:r w:rsidR="0028121D">
        <w:rPr>
          <w:rFonts w:ascii="Calibri" w:hAnsi="Calibri"/>
          <w:color w:val="3366FF"/>
        </w:rPr>
        <w:t>act fishing and climate change. L</w:t>
      </w:r>
      <w:r w:rsidR="002A65E9">
        <w:rPr>
          <w:rFonts w:ascii="Calibri" w:hAnsi="Calibri"/>
          <w:color w:val="3366FF"/>
        </w:rPr>
        <w:t>egislation on marine planning</w:t>
      </w:r>
      <w:r w:rsidR="0028121D">
        <w:rPr>
          <w:rFonts w:ascii="Calibri" w:hAnsi="Calibri"/>
          <w:color w:val="3366FF"/>
        </w:rPr>
        <w:t xml:space="preserve"> </w:t>
      </w:r>
      <w:r w:rsidR="002A65E9">
        <w:rPr>
          <w:rFonts w:ascii="Calibri" w:hAnsi="Calibri"/>
          <w:color w:val="3366FF"/>
        </w:rPr>
        <w:t>provide</w:t>
      </w:r>
      <w:r w:rsidR="0028121D">
        <w:rPr>
          <w:rFonts w:ascii="Calibri" w:hAnsi="Calibri"/>
          <w:color w:val="3366FF"/>
        </w:rPr>
        <w:t>d</w:t>
      </w:r>
      <w:r w:rsidR="002A65E9">
        <w:rPr>
          <w:rFonts w:ascii="Calibri" w:hAnsi="Calibri"/>
          <w:color w:val="3366FF"/>
        </w:rPr>
        <w:t xml:space="preserve"> a strong framework for protecting and restoring </w:t>
      </w:r>
      <w:r w:rsidR="00C401CA" w:rsidRPr="0028121D">
        <w:rPr>
          <w:rFonts w:ascii="Calibri" w:hAnsi="Calibri"/>
          <w:color w:val="3366FF"/>
        </w:rPr>
        <w:t xml:space="preserve">resources, but </w:t>
      </w:r>
      <w:r w:rsidR="0028121D" w:rsidRPr="0028121D">
        <w:rPr>
          <w:rFonts w:ascii="Calibri" w:hAnsi="Calibri"/>
          <w:color w:val="3366FF"/>
        </w:rPr>
        <w:t>application</w:t>
      </w:r>
      <w:r w:rsidR="0028121D">
        <w:rPr>
          <w:rFonts w:ascii="Calibri" w:hAnsi="Calibri"/>
          <w:color w:val="3366FF"/>
        </w:rPr>
        <w:t xml:space="preserve"> has to date </w:t>
      </w:r>
      <w:r w:rsidR="002A65E9">
        <w:rPr>
          <w:rFonts w:ascii="Calibri" w:hAnsi="Calibri"/>
          <w:color w:val="3366FF"/>
        </w:rPr>
        <w:t xml:space="preserve">been </w:t>
      </w:r>
      <w:r w:rsidR="0028121D">
        <w:rPr>
          <w:rFonts w:ascii="Calibri" w:hAnsi="Calibri"/>
          <w:color w:val="3366FF"/>
        </w:rPr>
        <w:t>limited</w:t>
      </w:r>
      <w:r w:rsidR="00C401CA">
        <w:rPr>
          <w:rFonts w:ascii="Calibri" w:hAnsi="Calibri"/>
          <w:color w:val="3366FF"/>
        </w:rPr>
        <w:t>.</w:t>
      </w:r>
      <w:r w:rsidR="0028121D">
        <w:rPr>
          <w:rStyle w:val="EndnoteReference"/>
          <w:rFonts w:ascii="Calibri" w:hAnsi="Calibri"/>
          <w:color w:val="3366FF"/>
        </w:rPr>
        <w:endnoteReference w:id="133"/>
      </w:r>
      <w:r w:rsidR="00C401CA">
        <w:rPr>
          <w:rFonts w:ascii="Calibri" w:hAnsi="Calibri"/>
          <w:color w:val="3366FF"/>
        </w:rPr>
        <w:t xml:space="preserve"> </w:t>
      </w:r>
      <w:r w:rsidR="00C401CA">
        <w:rPr>
          <w:rFonts w:ascii="Calibri" w:hAnsi="Calibri"/>
        </w:rPr>
        <w:t xml:space="preserve">Other important resource barriers to note but beyond the limited scope of this report include skills and </w:t>
      </w:r>
      <w:r w:rsidR="00AD05D3">
        <w:rPr>
          <w:rFonts w:ascii="Calibri" w:hAnsi="Calibri"/>
        </w:rPr>
        <w:t xml:space="preserve">the </w:t>
      </w:r>
      <w:r w:rsidR="00C401CA">
        <w:rPr>
          <w:rFonts w:ascii="Calibri" w:hAnsi="Calibri"/>
        </w:rPr>
        <w:t>genetic diversity</w:t>
      </w:r>
      <w:r w:rsidR="00AD05D3">
        <w:rPr>
          <w:rFonts w:ascii="Calibri" w:hAnsi="Calibri"/>
        </w:rPr>
        <w:t xml:space="preserve"> of crops and livestock</w:t>
      </w:r>
      <w:r w:rsidR="00C401CA">
        <w:rPr>
          <w:rFonts w:ascii="Calibri" w:hAnsi="Calibri"/>
        </w:rPr>
        <w:t>.</w:t>
      </w:r>
      <w:r w:rsidR="0028121D">
        <w:rPr>
          <w:rStyle w:val="EndnoteReference"/>
          <w:rFonts w:ascii="Calibri" w:hAnsi="Calibri"/>
        </w:rPr>
        <w:endnoteReference w:id="134"/>
      </w:r>
      <w:r w:rsidR="00AD05D3">
        <w:rPr>
          <w:rFonts w:ascii="Calibri" w:hAnsi="Calibri"/>
        </w:rPr>
        <w:t xml:space="preserve"> </w:t>
      </w:r>
      <w:r w:rsidR="0028121D">
        <w:rPr>
          <w:rFonts w:ascii="Calibri" w:hAnsi="Calibri"/>
        </w:rPr>
        <w:br/>
      </w:r>
    </w:p>
    <w:p w14:paraId="1AAFABB8" w14:textId="6AD73185" w:rsidR="00214918" w:rsidRDefault="000F546A" w:rsidP="00214918">
      <w:pPr>
        <w:ind w:left="2160" w:hanging="2160"/>
        <w:rPr>
          <w:rFonts w:ascii="Calibri" w:hAnsi="Calibri"/>
        </w:rPr>
      </w:pPr>
      <w:r w:rsidRPr="006D4AB3">
        <w:rPr>
          <w:rFonts w:ascii="Calibri" w:hAnsi="Calibri"/>
          <w:b/>
        </w:rPr>
        <w:t>Recommendation 12:</w:t>
      </w:r>
      <w:r w:rsidRPr="006D4AB3">
        <w:rPr>
          <w:rFonts w:ascii="Calibri" w:hAnsi="Calibri"/>
          <w:b/>
        </w:rPr>
        <w:tab/>
      </w:r>
      <w:r w:rsidR="00D207D7">
        <w:rPr>
          <w:rFonts w:ascii="Calibri" w:hAnsi="Calibri"/>
        </w:rPr>
        <w:t>T</w:t>
      </w:r>
      <w:r w:rsidR="00214918" w:rsidRPr="006D4AB3">
        <w:rPr>
          <w:rFonts w:ascii="Calibri" w:hAnsi="Calibri"/>
        </w:rPr>
        <w:t xml:space="preserve">ake urgent action to increase the accessibility of land for food production, including the cost of purchasing land, security of land tenure, and tenants’ right to buy. Regularly review the impact of provisions on </w:t>
      </w:r>
      <w:r w:rsidR="00214918" w:rsidRPr="00A34BFC">
        <w:rPr>
          <w:rFonts w:ascii="Calibri" w:hAnsi="Calibri"/>
        </w:rPr>
        <w:t>urban access and community</w:t>
      </w:r>
      <w:r w:rsidR="00214918" w:rsidRPr="006D4AB3">
        <w:rPr>
          <w:rFonts w:ascii="Calibri" w:hAnsi="Calibri"/>
        </w:rPr>
        <w:t xml:space="preserve"> right to buy</w:t>
      </w:r>
      <w:r w:rsidR="00A34BFC">
        <w:rPr>
          <w:rFonts w:ascii="Calibri" w:hAnsi="Calibri"/>
        </w:rPr>
        <w:t>, checking that</w:t>
      </w:r>
      <w:r w:rsidR="00214918" w:rsidRPr="006D4AB3">
        <w:rPr>
          <w:rFonts w:ascii="Calibri" w:hAnsi="Calibri"/>
        </w:rPr>
        <w:t xml:space="preserve"> the benefits are felt across socio-economic background. </w:t>
      </w:r>
      <w:r w:rsidR="00A34BFC">
        <w:rPr>
          <w:rFonts w:ascii="Calibri" w:hAnsi="Calibri"/>
        </w:rPr>
        <w:t>Ensure</w:t>
      </w:r>
      <w:r w:rsidR="0028121D">
        <w:rPr>
          <w:rFonts w:ascii="Calibri" w:hAnsi="Calibri"/>
        </w:rPr>
        <w:t xml:space="preserve"> marine planning </w:t>
      </w:r>
      <w:r w:rsidR="00A34BFC">
        <w:rPr>
          <w:rFonts w:ascii="Calibri" w:hAnsi="Calibri"/>
        </w:rPr>
        <w:t xml:space="preserve">protects marine ecosystems, </w:t>
      </w:r>
      <w:r w:rsidR="00A351B5">
        <w:rPr>
          <w:rFonts w:ascii="Calibri" w:hAnsi="Calibri"/>
        </w:rPr>
        <w:t xml:space="preserve">and is inclusive of </w:t>
      </w:r>
      <w:r w:rsidR="00DB2427">
        <w:rPr>
          <w:rFonts w:ascii="Calibri" w:hAnsi="Calibri"/>
        </w:rPr>
        <w:t>fisherfolk</w:t>
      </w:r>
      <w:r w:rsidR="00A351B5">
        <w:rPr>
          <w:rFonts w:ascii="Calibri" w:hAnsi="Calibri"/>
        </w:rPr>
        <w:t xml:space="preserve"> and fishing communities</w:t>
      </w:r>
      <w:r w:rsidR="00A34BFC">
        <w:rPr>
          <w:rFonts w:ascii="Calibri" w:hAnsi="Calibri"/>
        </w:rPr>
        <w:t>.</w:t>
      </w:r>
      <w:r w:rsidR="0028121D">
        <w:rPr>
          <w:rFonts w:ascii="Calibri" w:hAnsi="Calibri"/>
        </w:rPr>
        <w:t xml:space="preserve"> </w:t>
      </w:r>
    </w:p>
    <w:p w14:paraId="4CCEE3B6" w14:textId="5D860010" w:rsidR="00A34BFC" w:rsidRPr="006D4AB3" w:rsidRDefault="0038792D" w:rsidP="00214918">
      <w:pPr>
        <w:ind w:left="2160" w:hanging="2160"/>
        <w:rPr>
          <w:rFonts w:ascii="Calibri" w:hAnsi="Calibri"/>
        </w:rPr>
      </w:pPr>
      <w:r w:rsidRPr="006D4AB3">
        <w:rPr>
          <w:rFonts w:ascii="Calibri" w:hAnsi="Calibri"/>
          <w:noProof/>
          <w:color w:val="FF0000"/>
          <w:lang w:val="en-US"/>
        </w:rPr>
        <mc:AlternateContent>
          <mc:Choice Requires="wps">
            <w:drawing>
              <wp:anchor distT="0" distB="0" distL="114300" distR="114300" simplePos="0" relativeHeight="251705344" behindDoc="0" locked="0" layoutInCell="1" allowOverlap="1" wp14:anchorId="15C8B490" wp14:editId="78BD5E12">
                <wp:simplePos x="0" y="0"/>
                <wp:positionH relativeFrom="leftMargin">
                  <wp:posOffset>540385</wp:posOffset>
                </wp:positionH>
                <wp:positionV relativeFrom="paragraph">
                  <wp:posOffset>275590</wp:posOffset>
                </wp:positionV>
                <wp:extent cx="0" cy="2171700"/>
                <wp:effectExtent l="0" t="0" r="25400" b="12700"/>
                <wp:wrapNone/>
                <wp:docPr id="26" name="Straight Connector 26"/>
                <wp:cNvGraphicFramePr/>
                <a:graphic xmlns:a="http://schemas.openxmlformats.org/drawingml/2006/main">
                  <a:graphicData uri="http://schemas.microsoft.com/office/word/2010/wordprocessingShape">
                    <wps:wsp>
                      <wps:cNvCnPr/>
                      <wps:spPr>
                        <a:xfrm>
                          <a:off x="0" y="0"/>
                          <a:ext cx="0" cy="2171700"/>
                        </a:xfrm>
                        <a:prstGeom prst="line">
                          <a:avLst/>
                        </a:prstGeom>
                        <a:ln w="25400">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0BB8DC" id="Straight Connector 26" o:spid="_x0000_s1026" style="position:absolute;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5pt,21.7pt" to="42.55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" strokecolor="#70ad47 [3209]" strokeweight="2pt">
                <v:stroke dashstyle="dash" joinstyle="miter"/>
                <w10:wrap anchorx="margin"/>
              </v:line>
            </w:pict>
          </mc:Fallback>
        </mc:AlternateContent>
      </w:r>
    </w:p>
    <w:p w14:paraId="2CA413F7" w14:textId="04697A50" w:rsidR="007F5B56" w:rsidRPr="006D4AB3" w:rsidRDefault="00A34BFC" w:rsidP="00A34BFC">
      <w:pPr>
        <w:ind w:left="720"/>
        <w:rPr>
          <w:rFonts w:ascii="Calibri" w:hAnsi="Calibri"/>
          <w:b/>
          <w:color w:val="538135" w:themeColor="accent6" w:themeShade="BF"/>
          <w:sz w:val="32"/>
        </w:rPr>
      </w:pPr>
      <w:r>
        <w:rPr>
          <w:rFonts w:ascii="Calibri" w:hAnsi="Calibri"/>
          <w:b/>
          <w:color w:val="538135" w:themeColor="accent6" w:themeShade="BF"/>
          <w:sz w:val="32"/>
        </w:rPr>
        <w:t>A</w:t>
      </w:r>
      <w:r w:rsidR="007F5B56" w:rsidRPr="006D4AB3">
        <w:rPr>
          <w:rFonts w:ascii="Calibri" w:hAnsi="Calibri"/>
          <w:b/>
          <w:color w:val="538135" w:themeColor="accent6" w:themeShade="BF"/>
          <w:sz w:val="32"/>
        </w:rPr>
        <w:t xml:space="preserve">vailable: </w:t>
      </w:r>
      <w:r w:rsidR="007F5B56" w:rsidRPr="006D4AB3">
        <w:rPr>
          <w:rFonts w:ascii="Calibri" w:hAnsi="Calibri"/>
          <w:b/>
          <w:color w:val="538135" w:themeColor="accent6" w:themeShade="BF"/>
          <w:sz w:val="32"/>
        </w:rPr>
        <w:tab/>
      </w:r>
      <w:r w:rsidR="00373144" w:rsidRPr="006D4AB3">
        <w:rPr>
          <w:rFonts w:ascii="Calibri" w:hAnsi="Calibri"/>
          <w:b/>
          <w:color w:val="538135" w:themeColor="accent6" w:themeShade="BF"/>
          <w:sz w:val="32"/>
        </w:rPr>
        <w:tab/>
      </w:r>
      <w:r w:rsidR="007F5B56" w:rsidRPr="006D4AB3">
        <w:rPr>
          <w:rFonts w:ascii="Calibri" w:hAnsi="Calibri"/>
          <w:b/>
          <w:color w:val="538135" w:themeColor="accent6" w:themeShade="BF"/>
          <w:sz w:val="32"/>
        </w:rPr>
        <w:t xml:space="preserve">Processing, distribution &amp; markets </w:t>
      </w:r>
    </w:p>
    <w:p w14:paraId="2D9EA69A" w14:textId="721B1A9E" w:rsidR="00AE1F97" w:rsidRPr="006D4AB3" w:rsidRDefault="00F613BF" w:rsidP="00744C1D">
      <w:pPr>
        <w:ind w:left="720"/>
        <w:rPr>
          <w:rFonts w:ascii="Calibri" w:hAnsi="Calibri"/>
        </w:rPr>
      </w:pPr>
      <w:r w:rsidRPr="006D4AB3">
        <w:rPr>
          <w:rFonts w:ascii="Calibri" w:hAnsi="Calibri"/>
        </w:rPr>
        <w:t>The</w:t>
      </w:r>
      <w:r w:rsidR="00AE1F97" w:rsidRPr="006D4AB3">
        <w:rPr>
          <w:rFonts w:ascii="Calibri" w:hAnsi="Calibri"/>
        </w:rPr>
        <w:t xml:space="preserve">re is a significant power imbalance between producers and the </w:t>
      </w:r>
      <w:r w:rsidR="00AE1F97" w:rsidRPr="00BF033C">
        <w:rPr>
          <w:rFonts w:ascii="Calibri" w:hAnsi="Calibri"/>
        </w:rPr>
        <w:t>operators</w:t>
      </w:r>
      <w:r w:rsidR="00AE1F97" w:rsidRPr="006D4AB3">
        <w:rPr>
          <w:rFonts w:ascii="Calibri" w:hAnsi="Calibri"/>
        </w:rPr>
        <w:t xml:space="preserve"> of processing, distribution and retail in the</w:t>
      </w:r>
      <w:r w:rsidRPr="006D4AB3">
        <w:rPr>
          <w:rFonts w:ascii="Calibri" w:hAnsi="Calibri"/>
        </w:rPr>
        <w:t xml:space="preserve"> UK</w:t>
      </w:r>
      <w:r w:rsidR="00115EF7" w:rsidRPr="006D4AB3">
        <w:rPr>
          <w:rFonts w:ascii="Calibri" w:hAnsi="Calibri"/>
        </w:rPr>
        <w:t>. This is</w:t>
      </w:r>
      <w:r w:rsidR="00AE1F97" w:rsidRPr="006D4AB3">
        <w:rPr>
          <w:rFonts w:ascii="Calibri" w:hAnsi="Calibri"/>
        </w:rPr>
        <w:t xml:space="preserve"> reflected in the healthy profit margins of all but producers</w:t>
      </w:r>
      <w:r w:rsidR="00115EF7" w:rsidRPr="006D4AB3">
        <w:rPr>
          <w:rFonts w:ascii="Calibri" w:hAnsi="Calibri"/>
        </w:rPr>
        <w:t xml:space="preserve">, many of </w:t>
      </w:r>
      <w:r w:rsidR="000138D9" w:rsidRPr="006D4AB3">
        <w:rPr>
          <w:rFonts w:ascii="Calibri" w:hAnsi="Calibri"/>
        </w:rPr>
        <w:t>who</w:t>
      </w:r>
      <w:r w:rsidR="00115EF7" w:rsidRPr="006D4AB3">
        <w:rPr>
          <w:rFonts w:ascii="Calibri" w:hAnsi="Calibri"/>
        </w:rPr>
        <w:t xml:space="preserve"> operate at a </w:t>
      </w:r>
      <w:r w:rsidR="00C0044F">
        <w:rPr>
          <w:rFonts w:ascii="Calibri" w:hAnsi="Calibri"/>
        </w:rPr>
        <w:t>significant loss</w:t>
      </w:r>
      <w:r w:rsidR="00AE1F97" w:rsidRPr="006D4AB3">
        <w:rPr>
          <w:rFonts w:ascii="Calibri" w:hAnsi="Calibri"/>
        </w:rPr>
        <w:t xml:space="preserve"> and rely heavily on subsidies under the Common Agricultural Policy</w:t>
      </w:r>
      <w:r w:rsidR="00115EF7" w:rsidRPr="006D4AB3">
        <w:rPr>
          <w:rFonts w:ascii="Calibri" w:hAnsi="Calibri"/>
        </w:rPr>
        <w:t xml:space="preserve">. </w:t>
      </w:r>
      <w:r w:rsidR="00C0044F" w:rsidRPr="00154FED">
        <w:rPr>
          <w:rFonts w:ascii="Calibri" w:hAnsi="Calibri"/>
          <w:color w:val="3366FF"/>
        </w:rPr>
        <w:t>A</w:t>
      </w:r>
      <w:r w:rsidR="00AE1F97" w:rsidRPr="00154FED">
        <w:rPr>
          <w:rFonts w:ascii="Calibri" w:hAnsi="Calibri"/>
          <w:color w:val="3366FF"/>
        </w:rPr>
        <w:t xml:space="preserve">s many as a third of </w:t>
      </w:r>
      <w:r w:rsidR="00154FED" w:rsidRPr="00154FED">
        <w:rPr>
          <w:rFonts w:ascii="Calibri" w:hAnsi="Calibri"/>
          <w:color w:val="3366FF"/>
        </w:rPr>
        <w:t xml:space="preserve">Scottish </w:t>
      </w:r>
      <w:r w:rsidR="00B3166A" w:rsidRPr="00154FED">
        <w:rPr>
          <w:rFonts w:ascii="Calibri" w:hAnsi="Calibri"/>
          <w:color w:val="3366FF"/>
        </w:rPr>
        <w:t>farms c</w:t>
      </w:r>
      <w:r w:rsidR="00AE1F97" w:rsidRPr="00154FED">
        <w:rPr>
          <w:rFonts w:ascii="Calibri" w:hAnsi="Calibri"/>
          <w:color w:val="3366FF"/>
        </w:rPr>
        <w:t>ould fail overnight without subsidies</w:t>
      </w:r>
      <w:r w:rsidR="00115EF7" w:rsidRPr="00154FED">
        <w:rPr>
          <w:rFonts w:ascii="Calibri" w:hAnsi="Calibri"/>
          <w:color w:val="3366FF"/>
        </w:rPr>
        <w:t xml:space="preserve">, </w:t>
      </w:r>
      <w:r w:rsidR="00115EF7" w:rsidRPr="006D4AB3">
        <w:rPr>
          <w:rFonts w:ascii="Calibri" w:hAnsi="Calibri"/>
        </w:rPr>
        <w:t>y</w:t>
      </w:r>
      <w:r w:rsidR="00AE1F97" w:rsidRPr="006D4AB3">
        <w:rPr>
          <w:rFonts w:ascii="Calibri" w:hAnsi="Calibri"/>
        </w:rPr>
        <w:t xml:space="preserve">et the prices paid </w:t>
      </w:r>
      <w:r w:rsidR="00AE1F97" w:rsidRPr="00E214EE">
        <w:rPr>
          <w:rFonts w:ascii="Calibri" w:hAnsi="Calibri"/>
        </w:rPr>
        <w:t>by consumers have been steadily increasing</w:t>
      </w:r>
      <w:r w:rsidR="00115EF7" w:rsidRPr="00E214EE">
        <w:rPr>
          <w:rFonts w:ascii="Calibri" w:hAnsi="Calibri"/>
        </w:rPr>
        <w:t xml:space="preserve"> – raising concerns that subsidies are perversely acting</w:t>
      </w:r>
      <w:r w:rsidR="00AE1F97" w:rsidRPr="00E214EE">
        <w:rPr>
          <w:rFonts w:ascii="Calibri" w:hAnsi="Calibri"/>
        </w:rPr>
        <w:t xml:space="preserve"> as corporate welfare.</w:t>
      </w:r>
      <w:r w:rsidR="00AE1F97" w:rsidRPr="006D4AB3">
        <w:rPr>
          <w:rFonts w:ascii="Calibri" w:hAnsi="Calibri"/>
        </w:rPr>
        <w:t xml:space="preserve"> </w:t>
      </w:r>
    </w:p>
    <w:p w14:paraId="3A6A1A71" w14:textId="50F6E86B" w:rsidR="00744C1D" w:rsidRPr="006D4AB3" w:rsidRDefault="00744C1D" w:rsidP="00744C1D">
      <w:pPr>
        <w:ind w:left="720"/>
        <w:rPr>
          <w:rFonts w:ascii="Calibri" w:hAnsi="Calibri"/>
        </w:rPr>
      </w:pPr>
      <w:r w:rsidRPr="00CC5ED5">
        <w:rPr>
          <w:rFonts w:ascii="Calibri" w:hAnsi="Calibri"/>
          <w:color w:val="3366FF"/>
        </w:rPr>
        <w:t xml:space="preserve">The average farm income </w:t>
      </w:r>
      <w:r w:rsidR="00CC5ED5" w:rsidRPr="00CC5ED5">
        <w:rPr>
          <w:rFonts w:ascii="Calibri" w:hAnsi="Calibri"/>
          <w:color w:val="3366FF"/>
        </w:rPr>
        <w:t xml:space="preserve">in Scotland </w:t>
      </w:r>
      <w:r w:rsidRPr="00CC5ED5">
        <w:rPr>
          <w:rFonts w:ascii="Calibri" w:hAnsi="Calibri"/>
          <w:color w:val="3366FF"/>
        </w:rPr>
        <w:t>of £2</w:t>
      </w:r>
      <w:r w:rsidR="00CC5ED5" w:rsidRPr="00CC5ED5">
        <w:rPr>
          <w:rFonts w:ascii="Calibri" w:hAnsi="Calibri"/>
          <w:color w:val="3366FF"/>
        </w:rPr>
        <w:t>3,00</w:t>
      </w:r>
      <w:r w:rsidRPr="00CC5ED5">
        <w:rPr>
          <w:rFonts w:ascii="Calibri" w:hAnsi="Calibri"/>
          <w:color w:val="3366FF"/>
        </w:rPr>
        <w:t xml:space="preserve">0pa </w:t>
      </w:r>
      <w:r w:rsidRPr="00CC5ED5">
        <w:rPr>
          <w:rFonts w:ascii="Calibri" w:hAnsi="Calibri"/>
          <w:b/>
          <w:color w:val="3366FF"/>
        </w:rPr>
        <w:t xml:space="preserve">is in real terms a fall of </w:t>
      </w:r>
      <w:r w:rsidR="00CC5ED5" w:rsidRPr="00CC5ED5">
        <w:rPr>
          <w:rFonts w:ascii="Calibri" w:hAnsi="Calibri"/>
          <w:b/>
          <w:color w:val="3366FF"/>
        </w:rPr>
        <w:t>55%</w:t>
      </w:r>
      <w:r w:rsidRPr="00CC5ED5">
        <w:rPr>
          <w:rFonts w:ascii="Calibri" w:hAnsi="Calibri"/>
          <w:b/>
          <w:color w:val="3366FF"/>
        </w:rPr>
        <w:t xml:space="preserve"> from 201</w:t>
      </w:r>
      <w:r w:rsidR="00CC5ED5" w:rsidRPr="00CC5ED5">
        <w:rPr>
          <w:rFonts w:ascii="Calibri" w:hAnsi="Calibri"/>
          <w:b/>
          <w:color w:val="3366FF"/>
        </w:rPr>
        <w:t>0</w:t>
      </w:r>
      <w:r w:rsidR="00CC5ED5" w:rsidRPr="00CC5ED5">
        <w:rPr>
          <w:rFonts w:ascii="Calibri" w:hAnsi="Calibri"/>
          <w:color w:val="3366FF"/>
        </w:rPr>
        <w:t>.</w:t>
      </w:r>
      <w:r w:rsidR="00CC5ED5">
        <w:rPr>
          <w:rStyle w:val="EndnoteReference"/>
          <w:rFonts w:ascii="Calibri" w:hAnsi="Calibri"/>
        </w:rPr>
        <w:endnoteReference w:id="135"/>
      </w:r>
      <w:r w:rsidRPr="006D4AB3">
        <w:rPr>
          <w:rFonts w:ascii="Calibri" w:hAnsi="Calibri"/>
        </w:rPr>
        <w:t xml:space="preserve"> </w:t>
      </w:r>
      <w:r w:rsidR="00CC5ED5">
        <w:rPr>
          <w:rFonts w:ascii="Calibri" w:hAnsi="Calibri"/>
        </w:rPr>
        <w:t>W</w:t>
      </w:r>
      <w:r w:rsidRPr="006D4AB3">
        <w:rPr>
          <w:rFonts w:ascii="Calibri" w:hAnsi="Calibri"/>
        </w:rPr>
        <w:t xml:space="preserve">hen costs are considered </w:t>
      </w:r>
      <w:r w:rsidRPr="006D4AB3">
        <w:rPr>
          <w:rFonts w:ascii="Calibri" w:hAnsi="Calibri"/>
          <w:b/>
        </w:rPr>
        <w:t>over a third of UK farms have a net farm income of less than zero, and 46% of farms are failing to recover their annual costs</w:t>
      </w:r>
      <w:r w:rsidR="00CC5ED5">
        <w:rPr>
          <w:rFonts w:ascii="Calibri" w:hAnsi="Calibri"/>
        </w:rPr>
        <w:t xml:space="preserve"> – c</w:t>
      </w:r>
      <w:r w:rsidRPr="006D4AB3">
        <w:rPr>
          <w:rFonts w:ascii="Calibri" w:hAnsi="Calibri"/>
        </w:rPr>
        <w:t>oncerningly, DEFRA predict that incomes will continue to decrease significantly across all farm-types.</w:t>
      </w:r>
      <w:r w:rsidR="00AE1F97" w:rsidRPr="006D4AB3">
        <w:rPr>
          <w:rStyle w:val="EndnoteReference"/>
          <w:rFonts w:ascii="Calibri" w:hAnsi="Calibri"/>
        </w:rPr>
        <w:endnoteReference w:id="136"/>
      </w:r>
      <w:r w:rsidR="00232062" w:rsidRPr="006D4AB3">
        <w:rPr>
          <w:rFonts w:ascii="Calibri" w:hAnsi="Calibri"/>
        </w:rPr>
        <w:t xml:space="preserve"> Large retailers can effectively stipulate production and price to </w:t>
      </w:r>
      <w:r w:rsidR="00232062" w:rsidRPr="006D4AB3">
        <w:rPr>
          <w:rFonts w:ascii="Calibri" w:hAnsi="Calibri"/>
        </w:rPr>
        <w:lastRenderedPageBreak/>
        <w:t>producers</w:t>
      </w:r>
      <w:r w:rsidR="00D31E0B" w:rsidRPr="006D4AB3">
        <w:rPr>
          <w:rFonts w:ascii="Calibri" w:hAnsi="Calibri"/>
        </w:rPr>
        <w:t xml:space="preserve">; </w:t>
      </w:r>
      <w:r w:rsidR="00232062" w:rsidRPr="006D4AB3">
        <w:rPr>
          <w:rFonts w:ascii="Calibri" w:hAnsi="Calibri"/>
          <w:b/>
        </w:rPr>
        <w:t>4 chains accoun</w:t>
      </w:r>
      <w:r w:rsidR="00D31E0B" w:rsidRPr="006D4AB3">
        <w:rPr>
          <w:rFonts w:ascii="Calibri" w:hAnsi="Calibri"/>
          <w:b/>
        </w:rPr>
        <w:t>t</w:t>
      </w:r>
      <w:r w:rsidR="00232062" w:rsidRPr="006D4AB3">
        <w:rPr>
          <w:rFonts w:ascii="Calibri" w:hAnsi="Calibri"/>
          <w:b/>
        </w:rPr>
        <w:t xml:space="preserve"> for 70% of food purchased for consumption in the home</w:t>
      </w:r>
      <w:r w:rsidR="00232062" w:rsidRPr="006D4AB3">
        <w:rPr>
          <w:rFonts w:ascii="Calibri" w:hAnsi="Calibri"/>
        </w:rPr>
        <w:t xml:space="preserve">, </w:t>
      </w:r>
      <w:r w:rsidR="00D31E0B" w:rsidRPr="006D4AB3">
        <w:rPr>
          <w:rFonts w:ascii="Calibri" w:hAnsi="Calibri"/>
        </w:rPr>
        <w:t>with only</w:t>
      </w:r>
      <w:r w:rsidR="00232062" w:rsidRPr="006D4AB3">
        <w:rPr>
          <w:rFonts w:ascii="Calibri" w:hAnsi="Calibri"/>
        </w:rPr>
        <w:t xml:space="preserve"> 5% </w:t>
      </w:r>
      <w:r w:rsidR="00D31E0B" w:rsidRPr="006D4AB3">
        <w:rPr>
          <w:rFonts w:ascii="Calibri" w:hAnsi="Calibri"/>
        </w:rPr>
        <w:t>of the remainder a</w:t>
      </w:r>
      <w:r w:rsidR="00232062" w:rsidRPr="006D4AB3">
        <w:rPr>
          <w:rFonts w:ascii="Calibri" w:hAnsi="Calibri"/>
        </w:rPr>
        <w:t>ttributable to independent shops.</w:t>
      </w:r>
      <w:r w:rsidR="00232062" w:rsidRPr="006D4AB3">
        <w:rPr>
          <w:rStyle w:val="EndnoteReference"/>
          <w:rFonts w:ascii="Calibri" w:hAnsi="Calibri"/>
        </w:rPr>
        <w:endnoteReference w:id="137"/>
      </w:r>
    </w:p>
    <w:p w14:paraId="1385393F" w14:textId="04454884" w:rsidR="005924FA" w:rsidRPr="006D4AB3" w:rsidRDefault="00E97890" w:rsidP="005924FA">
      <w:pPr>
        <w:ind w:left="720"/>
        <w:rPr>
          <w:rFonts w:ascii="Calibri" w:hAnsi="Calibri"/>
        </w:rPr>
      </w:pPr>
      <w:r w:rsidRPr="006D4AB3">
        <w:rPr>
          <w:rFonts w:ascii="Calibri" w:hAnsi="Calibri"/>
          <w:noProof/>
          <w:color w:val="FF0000"/>
          <w:lang w:val="en-US"/>
        </w:rPr>
        <mc:AlternateContent>
          <mc:Choice Requires="wps">
            <w:drawing>
              <wp:anchor distT="0" distB="0" distL="114300" distR="114300" simplePos="0" relativeHeight="251695104" behindDoc="0" locked="0" layoutInCell="1" allowOverlap="1" wp14:anchorId="6E2BD348" wp14:editId="2A8040D4">
                <wp:simplePos x="0" y="0"/>
                <wp:positionH relativeFrom="leftMargin">
                  <wp:posOffset>540385</wp:posOffset>
                </wp:positionH>
                <wp:positionV relativeFrom="paragraph">
                  <wp:posOffset>-469900</wp:posOffset>
                </wp:positionV>
                <wp:extent cx="0" cy="3200400"/>
                <wp:effectExtent l="0" t="0" r="25400" b="0"/>
                <wp:wrapNone/>
                <wp:docPr id="21" name="Straight Connector 21"/>
                <wp:cNvGraphicFramePr/>
                <a:graphic xmlns:a="http://schemas.openxmlformats.org/drawingml/2006/main">
                  <a:graphicData uri="http://schemas.microsoft.com/office/word/2010/wordprocessingShape">
                    <wps:wsp>
                      <wps:cNvCnPr/>
                      <wps:spPr>
                        <a:xfrm>
                          <a:off x="0" y="0"/>
                          <a:ext cx="0" cy="3200400"/>
                        </a:xfrm>
                        <a:prstGeom prst="line">
                          <a:avLst/>
                        </a:prstGeom>
                        <a:ln w="25400">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5E3ECD"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5pt,-37pt" to="42.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" strokecolor="#70ad47 [3209]" strokeweight="2pt">
                <v:stroke dashstyle="dash" joinstyle="miter"/>
                <w10:wrap anchorx="margin"/>
              </v:line>
            </w:pict>
          </mc:Fallback>
        </mc:AlternateContent>
      </w:r>
      <w:r w:rsidR="007F7745">
        <w:rPr>
          <w:rFonts w:ascii="Calibri" w:hAnsi="Calibri"/>
        </w:rPr>
        <w:t>Milk prices have drawn considerable attention</w:t>
      </w:r>
      <w:r w:rsidR="002B679D">
        <w:rPr>
          <w:rFonts w:ascii="Calibri" w:hAnsi="Calibri"/>
        </w:rPr>
        <w:t xml:space="preserve"> recently</w:t>
      </w:r>
      <w:r w:rsidR="007F7745">
        <w:rPr>
          <w:rFonts w:ascii="Calibri" w:hAnsi="Calibri"/>
        </w:rPr>
        <w:t>, with</w:t>
      </w:r>
      <w:r w:rsidR="005924FA" w:rsidRPr="006D4AB3">
        <w:rPr>
          <w:rFonts w:ascii="Calibri" w:hAnsi="Calibri"/>
        </w:rPr>
        <w:t xml:space="preserve"> the farm</w:t>
      </w:r>
      <w:r w:rsidR="00FC2681" w:rsidRPr="006D4AB3">
        <w:rPr>
          <w:rFonts w:ascii="Calibri" w:hAnsi="Calibri"/>
        </w:rPr>
        <w:t>-</w:t>
      </w:r>
      <w:r w:rsidR="005924FA" w:rsidRPr="006D4AB3">
        <w:rPr>
          <w:rFonts w:ascii="Calibri" w:hAnsi="Calibri"/>
        </w:rPr>
        <w:t xml:space="preserve">gate price of milk </w:t>
      </w:r>
      <w:r w:rsidR="007F7745">
        <w:rPr>
          <w:rFonts w:ascii="Calibri" w:hAnsi="Calibri"/>
        </w:rPr>
        <w:t xml:space="preserve">falling dramatically </w:t>
      </w:r>
      <w:r w:rsidR="005924FA" w:rsidRPr="006D4AB3">
        <w:rPr>
          <w:rFonts w:ascii="Calibri" w:hAnsi="Calibri"/>
        </w:rPr>
        <w:t xml:space="preserve">from an average of 32p per litre in 2014 </w:t>
      </w:r>
      <w:r w:rsidR="00FC2681" w:rsidRPr="006D4AB3">
        <w:rPr>
          <w:rFonts w:ascii="Calibri" w:hAnsi="Calibri"/>
        </w:rPr>
        <w:t>to an</w:t>
      </w:r>
      <w:r w:rsidR="005924FA" w:rsidRPr="006D4AB3">
        <w:rPr>
          <w:rFonts w:ascii="Calibri" w:hAnsi="Calibri"/>
        </w:rPr>
        <w:t xml:space="preserve"> a</w:t>
      </w:r>
      <w:r w:rsidR="00FC2681" w:rsidRPr="006D4AB3">
        <w:rPr>
          <w:rFonts w:ascii="Calibri" w:hAnsi="Calibri"/>
        </w:rPr>
        <w:t>verage</w:t>
      </w:r>
      <w:r w:rsidR="005924FA" w:rsidRPr="006D4AB3">
        <w:rPr>
          <w:rFonts w:ascii="Calibri" w:hAnsi="Calibri"/>
        </w:rPr>
        <w:t xml:space="preserve"> 23p per litre in 2016</w:t>
      </w:r>
      <w:r w:rsidR="007F7745">
        <w:rPr>
          <w:rFonts w:ascii="Calibri" w:hAnsi="Calibri"/>
        </w:rPr>
        <w:t xml:space="preserve">. </w:t>
      </w:r>
      <w:r w:rsidR="007F7745" w:rsidRPr="007F7745">
        <w:rPr>
          <w:rFonts w:ascii="Calibri" w:hAnsi="Calibri"/>
          <w:b/>
        </w:rPr>
        <w:t xml:space="preserve">This is </w:t>
      </w:r>
      <w:r w:rsidR="00A637BC">
        <w:rPr>
          <w:rFonts w:ascii="Calibri" w:hAnsi="Calibri"/>
          <w:b/>
        </w:rPr>
        <w:t>far</w:t>
      </w:r>
      <w:r w:rsidR="002E6C00" w:rsidRPr="006D4AB3">
        <w:rPr>
          <w:rFonts w:ascii="Calibri" w:hAnsi="Calibri"/>
          <w:b/>
        </w:rPr>
        <w:t xml:space="preserve"> below the minimum cost of production</w:t>
      </w:r>
      <w:r w:rsidR="002E6C00" w:rsidRPr="006D4AB3">
        <w:rPr>
          <w:rFonts w:ascii="Calibri" w:hAnsi="Calibri"/>
        </w:rPr>
        <w:t xml:space="preserve"> estimated at 30p per litre, </w:t>
      </w:r>
      <w:r w:rsidR="005924FA" w:rsidRPr="006D4AB3">
        <w:rPr>
          <w:rFonts w:ascii="Calibri" w:hAnsi="Calibri"/>
        </w:rPr>
        <w:t>wh</w:t>
      </w:r>
      <w:r w:rsidR="007F7745">
        <w:rPr>
          <w:rFonts w:ascii="Calibri" w:hAnsi="Calibri"/>
        </w:rPr>
        <w:t>ile</w:t>
      </w:r>
      <w:r w:rsidR="002E6C00" w:rsidRPr="006D4AB3">
        <w:rPr>
          <w:rFonts w:ascii="Calibri" w:hAnsi="Calibri"/>
        </w:rPr>
        <w:t xml:space="preserve"> retail price has remained steady</w:t>
      </w:r>
      <w:r w:rsidR="00FC2681" w:rsidRPr="006D4AB3">
        <w:rPr>
          <w:rFonts w:ascii="Calibri" w:hAnsi="Calibri"/>
        </w:rPr>
        <w:t xml:space="preserve"> at </w:t>
      </w:r>
      <w:r w:rsidR="002E6C00" w:rsidRPr="006D4AB3">
        <w:rPr>
          <w:rFonts w:ascii="Calibri" w:hAnsi="Calibri"/>
        </w:rPr>
        <w:t>50p per litre.</w:t>
      </w:r>
      <w:r w:rsidR="00AD0998" w:rsidRPr="006D4AB3">
        <w:rPr>
          <w:rStyle w:val="EndnoteReference"/>
          <w:rFonts w:ascii="Calibri" w:hAnsi="Calibri"/>
        </w:rPr>
        <w:endnoteReference w:id="138"/>
      </w:r>
      <w:r w:rsidR="007F7745">
        <w:rPr>
          <w:rFonts w:ascii="Calibri" w:hAnsi="Calibri"/>
        </w:rPr>
        <w:t xml:space="preserve"> </w:t>
      </w:r>
      <w:r w:rsidR="002E6C00" w:rsidRPr="006D4AB3">
        <w:rPr>
          <w:rFonts w:ascii="Calibri" w:hAnsi="Calibri"/>
        </w:rPr>
        <w:t xml:space="preserve">In the last decade </w:t>
      </w:r>
      <w:r w:rsidR="002E6C00" w:rsidRPr="006D4AB3">
        <w:rPr>
          <w:rFonts w:ascii="Calibri" w:hAnsi="Calibri"/>
          <w:b/>
        </w:rPr>
        <w:t xml:space="preserve">the number of dairy farmers has decreased from </w:t>
      </w:r>
      <w:r w:rsidR="00AD0998" w:rsidRPr="006D4AB3">
        <w:rPr>
          <w:rFonts w:ascii="Calibri" w:hAnsi="Calibri"/>
          <w:b/>
        </w:rPr>
        <w:t>21,616 to 13,815</w:t>
      </w:r>
      <w:r w:rsidR="002E6C00" w:rsidRPr="006D4AB3">
        <w:rPr>
          <w:rFonts w:ascii="Calibri" w:hAnsi="Calibri"/>
        </w:rPr>
        <w:t>.</w:t>
      </w:r>
      <w:r w:rsidR="00AD0998" w:rsidRPr="006D4AB3">
        <w:rPr>
          <w:rStyle w:val="EndnoteReference"/>
          <w:rFonts w:ascii="Calibri" w:hAnsi="Calibri"/>
        </w:rPr>
        <w:endnoteReference w:id="139"/>
      </w:r>
    </w:p>
    <w:p w14:paraId="78F1D158" w14:textId="3AD2EAA2" w:rsidR="00D63C57" w:rsidRPr="006D4AB3" w:rsidRDefault="00D63C57" w:rsidP="00B35660">
      <w:pPr>
        <w:ind w:left="720"/>
        <w:rPr>
          <w:rFonts w:ascii="Calibri" w:hAnsi="Calibri"/>
        </w:rPr>
      </w:pPr>
      <w:r w:rsidRPr="006D4AB3">
        <w:rPr>
          <w:rFonts w:ascii="Calibri" w:hAnsi="Calibri"/>
        </w:rPr>
        <w:t>The Groceries Code Adjudicator</w:t>
      </w:r>
      <w:r w:rsidR="00490E70" w:rsidRPr="006D4AB3">
        <w:rPr>
          <w:rFonts w:ascii="Calibri" w:hAnsi="Calibri"/>
        </w:rPr>
        <w:t xml:space="preserve"> was</w:t>
      </w:r>
      <w:r w:rsidRPr="006D4AB3">
        <w:rPr>
          <w:rFonts w:ascii="Calibri" w:hAnsi="Calibri"/>
        </w:rPr>
        <w:t xml:space="preserve"> established in 2013</w:t>
      </w:r>
      <w:r w:rsidR="00490E70" w:rsidRPr="006D4AB3">
        <w:rPr>
          <w:rFonts w:ascii="Calibri" w:hAnsi="Calibri"/>
        </w:rPr>
        <w:t xml:space="preserve"> to</w:t>
      </w:r>
      <w:r w:rsidRPr="006D4AB3">
        <w:rPr>
          <w:rFonts w:ascii="Calibri" w:hAnsi="Calibri"/>
        </w:rPr>
        <w:t xml:space="preserve"> oversee the relationship between supermarkets and suppliers to ensure compliance with the </w:t>
      </w:r>
      <w:r w:rsidR="00490E70" w:rsidRPr="006D4AB3">
        <w:rPr>
          <w:rFonts w:ascii="Calibri" w:hAnsi="Calibri"/>
        </w:rPr>
        <w:t>statutory Code of P</w:t>
      </w:r>
      <w:r w:rsidRPr="006D4AB3">
        <w:rPr>
          <w:rFonts w:ascii="Calibri" w:hAnsi="Calibri"/>
        </w:rPr>
        <w:t>ractice</w:t>
      </w:r>
      <w:r w:rsidR="00A17B6C">
        <w:rPr>
          <w:rFonts w:ascii="Calibri" w:hAnsi="Calibri"/>
        </w:rPr>
        <w:t>, including that m</w:t>
      </w:r>
      <w:r w:rsidRPr="006D4AB3">
        <w:rPr>
          <w:rFonts w:ascii="Calibri" w:hAnsi="Calibri"/>
        </w:rPr>
        <w:t>arket dominance</w:t>
      </w:r>
      <w:r w:rsidR="00A17B6C">
        <w:rPr>
          <w:rFonts w:ascii="Calibri" w:hAnsi="Calibri"/>
        </w:rPr>
        <w:t xml:space="preserve"> is not used</w:t>
      </w:r>
      <w:r w:rsidRPr="006D4AB3">
        <w:rPr>
          <w:rFonts w:ascii="Calibri" w:hAnsi="Calibri"/>
        </w:rPr>
        <w:t xml:space="preserve"> to compete unfairly.</w:t>
      </w:r>
      <w:r w:rsidR="00490E70" w:rsidRPr="006D4AB3">
        <w:rPr>
          <w:rStyle w:val="EndnoteReference"/>
          <w:rFonts w:ascii="Calibri" w:hAnsi="Calibri"/>
        </w:rPr>
        <w:endnoteReference w:id="140"/>
      </w:r>
      <w:r w:rsidRPr="006D4AB3">
        <w:rPr>
          <w:rFonts w:ascii="Calibri" w:hAnsi="Calibri"/>
        </w:rPr>
        <w:t xml:space="preserve"> </w:t>
      </w:r>
      <w:r w:rsidR="00A17B6C">
        <w:rPr>
          <w:rFonts w:ascii="Calibri" w:hAnsi="Calibri"/>
        </w:rPr>
        <w:t xml:space="preserve"> </w:t>
      </w:r>
      <w:r w:rsidRPr="006D4AB3">
        <w:rPr>
          <w:rFonts w:ascii="Calibri" w:hAnsi="Calibri"/>
        </w:rPr>
        <w:t xml:space="preserve">The Adjudicator has </w:t>
      </w:r>
      <w:r w:rsidR="00CB4C44" w:rsidRPr="006D4AB3">
        <w:rPr>
          <w:rFonts w:ascii="Calibri" w:hAnsi="Calibri"/>
        </w:rPr>
        <w:t xml:space="preserve">only undertaken one formal public investigation in which they were critical of Tesco for delaying payments to suppliers to over-state profits, but </w:t>
      </w:r>
      <w:r w:rsidR="00CB4C44" w:rsidRPr="006D4AB3">
        <w:rPr>
          <w:rFonts w:ascii="Calibri" w:hAnsi="Calibri"/>
          <w:b/>
        </w:rPr>
        <w:t>largely overlooked the unfairness of such practice on producers.</w:t>
      </w:r>
      <w:r w:rsidR="00CB4C44" w:rsidRPr="006D4AB3">
        <w:rPr>
          <w:rStyle w:val="EndnoteReference"/>
          <w:rFonts w:ascii="Calibri" w:hAnsi="Calibri"/>
        </w:rPr>
        <w:endnoteReference w:id="141"/>
      </w:r>
    </w:p>
    <w:p w14:paraId="3F269DAB" w14:textId="06500075" w:rsidR="00490E70" w:rsidRPr="000138D9" w:rsidRDefault="00233D67" w:rsidP="000138D9">
      <w:pPr>
        <w:ind w:left="720"/>
        <w:rPr>
          <w:rFonts w:ascii="Calibri" w:hAnsi="Calibri"/>
          <w:color w:val="3366FF"/>
        </w:rPr>
      </w:pPr>
      <w:r w:rsidRPr="00877FE4">
        <w:rPr>
          <w:rFonts w:ascii="Calibri" w:hAnsi="Calibri"/>
          <w:color w:val="3366FF"/>
        </w:rPr>
        <w:t>A significant barrier to smaller-scale production</w:t>
      </w:r>
      <w:r w:rsidR="00CB4C44" w:rsidRPr="00877FE4">
        <w:rPr>
          <w:rFonts w:ascii="Calibri" w:hAnsi="Calibri"/>
          <w:color w:val="3366FF"/>
        </w:rPr>
        <w:t xml:space="preserve"> in Scotland is the </w:t>
      </w:r>
      <w:r w:rsidR="00AB3CF9" w:rsidRPr="00877FE4">
        <w:rPr>
          <w:rFonts w:ascii="Calibri" w:hAnsi="Calibri"/>
          <w:color w:val="3366FF"/>
        </w:rPr>
        <w:t>limited number</w:t>
      </w:r>
      <w:r w:rsidR="00CB4C44" w:rsidRPr="00877FE4">
        <w:rPr>
          <w:rFonts w:ascii="Calibri" w:hAnsi="Calibri"/>
          <w:color w:val="3366FF"/>
        </w:rPr>
        <w:t xml:space="preserve"> of </w:t>
      </w:r>
      <w:r w:rsidR="00AB3CF9" w:rsidRPr="00877FE4">
        <w:rPr>
          <w:rFonts w:ascii="Calibri" w:hAnsi="Calibri"/>
          <w:color w:val="3366FF"/>
        </w:rPr>
        <w:t xml:space="preserve">indigenous processing, </w:t>
      </w:r>
      <w:r w:rsidR="003506FB" w:rsidRPr="00877FE4">
        <w:rPr>
          <w:rFonts w:ascii="Calibri" w:hAnsi="Calibri"/>
          <w:color w:val="3366FF"/>
        </w:rPr>
        <w:t>distribution a</w:t>
      </w:r>
      <w:r w:rsidR="00490E70" w:rsidRPr="00877FE4">
        <w:rPr>
          <w:rFonts w:ascii="Calibri" w:hAnsi="Calibri"/>
          <w:color w:val="3366FF"/>
        </w:rPr>
        <w:t xml:space="preserve">nd retail companies – </w:t>
      </w:r>
      <w:r w:rsidR="00490E70" w:rsidRPr="00877FE4">
        <w:rPr>
          <w:rFonts w:ascii="Calibri" w:hAnsi="Calibri"/>
          <w:b/>
          <w:color w:val="3366FF"/>
        </w:rPr>
        <w:t xml:space="preserve">multiples </w:t>
      </w:r>
      <w:r w:rsidR="003506FB" w:rsidRPr="00877FE4">
        <w:rPr>
          <w:rFonts w:ascii="Calibri" w:hAnsi="Calibri"/>
          <w:b/>
          <w:color w:val="3366FF"/>
        </w:rPr>
        <w:t>operate in Scotland as a branch-economy</w:t>
      </w:r>
      <w:r w:rsidR="00490E70" w:rsidRPr="00877FE4">
        <w:rPr>
          <w:rFonts w:ascii="Calibri" w:hAnsi="Calibri"/>
          <w:color w:val="3366FF"/>
        </w:rPr>
        <w:t xml:space="preserve">, </w:t>
      </w:r>
      <w:r w:rsidR="003506FB" w:rsidRPr="00877FE4">
        <w:rPr>
          <w:rFonts w:ascii="Calibri" w:hAnsi="Calibri"/>
          <w:color w:val="3366FF"/>
        </w:rPr>
        <w:t>diverting away much of the control and the profits from Scottish produce.</w:t>
      </w:r>
      <w:r w:rsidR="001033BF" w:rsidRPr="00877FE4">
        <w:rPr>
          <w:rFonts w:ascii="Calibri" w:hAnsi="Calibri"/>
          <w:color w:val="3366FF"/>
        </w:rPr>
        <w:t xml:space="preserve"> Increasingly producers are diversifying in to farm shops, though this doesn’t always ensure produce is marketed effectively.</w:t>
      </w:r>
      <w:r w:rsidR="000138D9">
        <w:rPr>
          <w:rFonts w:ascii="Calibri" w:hAnsi="Calibri"/>
          <w:color w:val="3366FF"/>
        </w:rPr>
        <w:br/>
      </w:r>
    </w:p>
    <w:p w14:paraId="477B7CAA" w14:textId="406FD611" w:rsidR="00490E70" w:rsidRPr="006D4AB3" w:rsidRDefault="00490E70" w:rsidP="00490E70">
      <w:pPr>
        <w:ind w:left="2160" w:hanging="2160"/>
        <w:rPr>
          <w:rFonts w:ascii="Calibri" w:hAnsi="Calibri"/>
        </w:rPr>
      </w:pPr>
      <w:r w:rsidRPr="006D4AB3">
        <w:rPr>
          <w:rFonts w:ascii="Calibri" w:hAnsi="Calibri"/>
          <w:b/>
        </w:rPr>
        <w:t>Recommendation 13</w:t>
      </w:r>
      <w:r w:rsidRPr="006D4AB3">
        <w:rPr>
          <w:rFonts w:ascii="Calibri" w:hAnsi="Calibri"/>
        </w:rPr>
        <w:t xml:space="preserve">: </w:t>
      </w:r>
      <w:r w:rsidRPr="006D4AB3">
        <w:rPr>
          <w:rFonts w:ascii="Calibri" w:hAnsi="Calibri"/>
        </w:rPr>
        <w:tab/>
        <w:t>Invest in local processing, distribution</w:t>
      </w:r>
      <w:r w:rsidR="001033BF" w:rsidRPr="006D4AB3">
        <w:rPr>
          <w:rFonts w:ascii="Calibri" w:hAnsi="Calibri"/>
        </w:rPr>
        <w:t xml:space="preserve"> and markets </w:t>
      </w:r>
      <w:r w:rsidR="00233D67" w:rsidRPr="006D4AB3">
        <w:rPr>
          <w:rFonts w:ascii="Calibri" w:hAnsi="Calibri"/>
        </w:rPr>
        <w:t xml:space="preserve">– including food hubs </w:t>
      </w:r>
      <w:r w:rsidR="001033BF" w:rsidRPr="006D4AB3">
        <w:rPr>
          <w:rFonts w:ascii="Calibri" w:hAnsi="Calibri"/>
        </w:rPr>
        <w:t>to support smaller-</w:t>
      </w:r>
      <w:r w:rsidR="00233D67" w:rsidRPr="006D4AB3">
        <w:rPr>
          <w:rFonts w:ascii="Calibri" w:hAnsi="Calibri"/>
        </w:rPr>
        <w:t xml:space="preserve">scale producers </w:t>
      </w:r>
      <w:r w:rsidRPr="006D4AB3">
        <w:rPr>
          <w:rFonts w:ascii="Calibri" w:hAnsi="Calibri"/>
        </w:rPr>
        <w:t xml:space="preserve">sell </w:t>
      </w:r>
      <w:r w:rsidR="001033BF" w:rsidRPr="006D4AB3">
        <w:rPr>
          <w:rFonts w:ascii="Calibri" w:hAnsi="Calibri"/>
        </w:rPr>
        <w:t xml:space="preserve">their </w:t>
      </w:r>
      <w:r w:rsidRPr="006D4AB3">
        <w:rPr>
          <w:rFonts w:ascii="Calibri" w:hAnsi="Calibri"/>
        </w:rPr>
        <w:t>products</w:t>
      </w:r>
      <w:r w:rsidR="001033BF" w:rsidRPr="006D4AB3">
        <w:rPr>
          <w:rFonts w:ascii="Calibri" w:hAnsi="Calibri"/>
        </w:rPr>
        <w:t xml:space="preserve"> for a fair price, and protecting employment in rural communities</w:t>
      </w:r>
      <w:r w:rsidRPr="006D4AB3">
        <w:rPr>
          <w:rFonts w:ascii="Calibri" w:hAnsi="Calibri"/>
        </w:rPr>
        <w:t>. Ensure the Groceries Code Adjudicator has adequate resources and remit to challenge unfair supermarket</w:t>
      </w:r>
      <w:r w:rsidR="001033BF" w:rsidRPr="006D4AB3">
        <w:rPr>
          <w:rFonts w:ascii="Calibri" w:hAnsi="Calibri"/>
        </w:rPr>
        <w:t xml:space="preserve"> practices.</w:t>
      </w:r>
      <w:r w:rsidR="002B10FC">
        <w:rPr>
          <w:rFonts w:ascii="Calibri" w:hAnsi="Calibri"/>
        </w:rPr>
        <w:t xml:space="preserve"> </w:t>
      </w:r>
      <w:r w:rsidR="00BD420E">
        <w:rPr>
          <w:rFonts w:ascii="Calibri" w:hAnsi="Calibri"/>
        </w:rPr>
        <w:t>Legislate for policy coherence across the food system aligning production beyond export targets with nutrition and environment.</w:t>
      </w:r>
    </w:p>
    <w:p w14:paraId="79ED3F34" w14:textId="3593C543" w:rsidR="007F5B56" w:rsidRPr="006D4AB3" w:rsidRDefault="007A0672" w:rsidP="007F5B56">
      <w:pPr>
        <w:ind w:left="720"/>
        <w:rPr>
          <w:rFonts w:ascii="Calibri" w:hAnsi="Calibri"/>
          <w:b/>
          <w:color w:val="70AD47" w:themeColor="accent6"/>
          <w:sz w:val="32"/>
        </w:rPr>
      </w:pPr>
      <w:r w:rsidRPr="006D4AB3">
        <w:rPr>
          <w:rFonts w:ascii="Calibri" w:hAnsi="Calibri"/>
          <w:noProof/>
          <w:color w:val="FF0000"/>
          <w:lang w:val="en-US"/>
        </w:rPr>
        <mc:AlternateContent>
          <mc:Choice Requires="wps">
            <w:drawing>
              <wp:anchor distT="0" distB="0" distL="114300" distR="114300" simplePos="0" relativeHeight="251703296" behindDoc="0" locked="0" layoutInCell="1" allowOverlap="1" wp14:anchorId="2EB7ACAC" wp14:editId="4F8E6D21">
                <wp:simplePos x="0" y="0"/>
                <wp:positionH relativeFrom="leftMargin">
                  <wp:posOffset>540385</wp:posOffset>
                </wp:positionH>
                <wp:positionV relativeFrom="paragraph">
                  <wp:posOffset>40640</wp:posOffset>
                </wp:positionV>
                <wp:extent cx="0" cy="3886200"/>
                <wp:effectExtent l="0" t="0" r="25400" b="0"/>
                <wp:wrapNone/>
                <wp:docPr id="25" name="Straight Connector 25"/>
                <wp:cNvGraphicFramePr/>
                <a:graphic xmlns:a="http://schemas.openxmlformats.org/drawingml/2006/main">
                  <a:graphicData uri="http://schemas.microsoft.com/office/word/2010/wordprocessingShape">
                    <wps:wsp>
                      <wps:cNvCnPr/>
                      <wps:spPr>
                        <a:xfrm>
                          <a:off x="0" y="0"/>
                          <a:ext cx="0" cy="3886200"/>
                        </a:xfrm>
                        <a:prstGeom prst="line">
                          <a:avLst/>
                        </a:prstGeom>
                        <a:ln w="25400">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42.55pt,3.2pt" to="42.55pt,30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" strokecolor="#70ad47 [3209]" strokeweight="2pt">
                <v:stroke dashstyle="dash" joinstyle="miter"/>
                <w10:wrap anchorx="margin"/>
              </v:line>
            </w:pict>
          </mc:Fallback>
        </mc:AlternateContent>
      </w:r>
      <w:r w:rsidR="007F5B56" w:rsidRPr="00C0044F">
        <w:rPr>
          <w:rFonts w:ascii="Calibri" w:hAnsi="Calibri"/>
          <w:b/>
          <w:color w:val="70AD47" w:themeColor="accent6"/>
          <w:sz w:val="32"/>
        </w:rPr>
        <w:t xml:space="preserve">Available: </w:t>
      </w:r>
      <w:r w:rsidR="00373144" w:rsidRPr="00C0044F">
        <w:rPr>
          <w:rFonts w:ascii="Calibri" w:hAnsi="Calibri"/>
          <w:b/>
          <w:color w:val="70AD47" w:themeColor="accent6"/>
          <w:sz w:val="32"/>
        </w:rPr>
        <w:tab/>
      </w:r>
      <w:r w:rsidR="007F5B56" w:rsidRPr="00C0044F">
        <w:rPr>
          <w:rFonts w:ascii="Calibri" w:hAnsi="Calibri"/>
          <w:b/>
          <w:color w:val="70AD47" w:themeColor="accent6"/>
          <w:sz w:val="32"/>
        </w:rPr>
        <w:tab/>
        <w:t>Now and into the future</w:t>
      </w:r>
    </w:p>
    <w:p w14:paraId="2CB1FDFE" w14:textId="3F4C6B1D" w:rsidR="002A2928" w:rsidRDefault="00680CBA" w:rsidP="002A2928">
      <w:pPr>
        <w:ind w:left="720"/>
        <w:rPr>
          <w:rFonts w:ascii="Calibri" w:hAnsi="Calibri"/>
        </w:rPr>
      </w:pPr>
      <w:r w:rsidRPr="006D4AB3">
        <w:rPr>
          <w:rFonts w:ascii="Calibri" w:hAnsi="Calibri"/>
        </w:rPr>
        <w:t>The i</w:t>
      </w:r>
      <w:r w:rsidR="001B624F" w:rsidRPr="006D4AB3">
        <w:rPr>
          <w:rFonts w:ascii="Calibri" w:hAnsi="Calibri"/>
        </w:rPr>
        <w:t xml:space="preserve">ntensification of agriculture is responsible for multiple ecological crises, </w:t>
      </w:r>
      <w:r w:rsidRPr="006D4AB3">
        <w:rPr>
          <w:rFonts w:ascii="Calibri" w:hAnsi="Calibri"/>
        </w:rPr>
        <w:t xml:space="preserve">the costs of which are largely externalised. </w:t>
      </w:r>
      <w:r w:rsidR="002A2928" w:rsidRPr="002A2928">
        <w:rPr>
          <w:rFonts w:ascii="Calibri" w:hAnsi="Calibri"/>
        </w:rPr>
        <w:t>Significant water usage, impacts on air and water quality,</w:t>
      </w:r>
      <w:r w:rsidR="00A17B6C">
        <w:rPr>
          <w:rFonts w:ascii="Calibri" w:hAnsi="Calibri"/>
        </w:rPr>
        <w:t xml:space="preserve"> animal welfare,</w:t>
      </w:r>
      <w:r w:rsidR="002A2928" w:rsidRPr="002A2928">
        <w:rPr>
          <w:rFonts w:ascii="Calibri" w:hAnsi="Calibri"/>
        </w:rPr>
        <w:t xml:space="preserve"> soil erosion, biodiversity loss and climate change all undermine the availability of food now and in to the future.</w:t>
      </w:r>
      <w:r w:rsidR="002A2928">
        <w:rPr>
          <w:rFonts w:ascii="Calibri" w:hAnsi="Calibri"/>
        </w:rPr>
        <w:t xml:space="preserve"> We briefly </w:t>
      </w:r>
      <w:r w:rsidR="00F833BF">
        <w:rPr>
          <w:rFonts w:ascii="Calibri" w:hAnsi="Calibri"/>
        </w:rPr>
        <w:t>expand on</w:t>
      </w:r>
      <w:r w:rsidR="002A2928">
        <w:rPr>
          <w:rFonts w:ascii="Calibri" w:hAnsi="Calibri"/>
        </w:rPr>
        <w:t xml:space="preserve"> the three latter issues, with further reading available in the endnotes.</w:t>
      </w:r>
    </w:p>
    <w:p w14:paraId="2DC50313" w14:textId="37A5B189" w:rsidR="005007D2" w:rsidRDefault="002A2928" w:rsidP="007B766F">
      <w:pPr>
        <w:ind w:left="720"/>
        <w:rPr>
          <w:rFonts w:ascii="Calibri" w:hAnsi="Calibri"/>
        </w:rPr>
      </w:pPr>
      <w:r w:rsidRPr="007F7745">
        <w:rPr>
          <w:rFonts w:ascii="Calibri" w:hAnsi="Calibri"/>
        </w:rPr>
        <w:t xml:space="preserve">Soil protection is </w:t>
      </w:r>
      <w:r w:rsidR="00777F80">
        <w:rPr>
          <w:rFonts w:ascii="Calibri" w:hAnsi="Calibri"/>
        </w:rPr>
        <w:t>largely</w:t>
      </w:r>
      <w:r w:rsidR="00A17B6C" w:rsidRPr="007F7745">
        <w:rPr>
          <w:rFonts w:ascii="Calibri" w:hAnsi="Calibri"/>
        </w:rPr>
        <w:t xml:space="preserve"> centred on voluntary action; </w:t>
      </w:r>
      <w:r w:rsidR="00183880" w:rsidRPr="007F7745">
        <w:rPr>
          <w:rFonts w:ascii="Calibri" w:hAnsi="Calibri"/>
        </w:rPr>
        <w:t xml:space="preserve">the Government fiercely </w:t>
      </w:r>
      <w:r w:rsidR="00183880" w:rsidRPr="00183880">
        <w:rPr>
          <w:rFonts w:ascii="Calibri" w:hAnsi="Calibri"/>
        </w:rPr>
        <w:t>lobbied to scrap EU proposals for a Soil Directive</w:t>
      </w:r>
      <w:r w:rsidR="00183880" w:rsidRPr="007F7745">
        <w:rPr>
          <w:rFonts w:ascii="Calibri" w:hAnsi="Calibri"/>
        </w:rPr>
        <w:t xml:space="preserve"> </w:t>
      </w:r>
      <w:r w:rsidR="00A17B6C" w:rsidRPr="007F7745">
        <w:rPr>
          <w:rFonts w:ascii="Calibri" w:hAnsi="Calibri"/>
        </w:rPr>
        <w:t>d</w:t>
      </w:r>
      <w:r w:rsidRPr="007F7745">
        <w:rPr>
          <w:rFonts w:ascii="Calibri" w:hAnsi="Calibri"/>
        </w:rPr>
        <w:t>espite research highlighting that the UK may only have 100 harvests left</w:t>
      </w:r>
      <w:r w:rsidR="00183880">
        <w:rPr>
          <w:rFonts w:ascii="Calibri" w:hAnsi="Calibri"/>
        </w:rPr>
        <w:t>.</w:t>
      </w:r>
      <w:r w:rsidR="00183880" w:rsidRPr="00183880">
        <w:rPr>
          <w:rStyle w:val="EndnoteReference"/>
          <w:rFonts w:ascii="Calibri" w:hAnsi="Calibri"/>
        </w:rPr>
        <w:endnoteReference w:id="142"/>
      </w:r>
      <w:r w:rsidR="007F7745">
        <w:rPr>
          <w:rFonts w:ascii="Calibri" w:hAnsi="Calibri"/>
        </w:rPr>
        <w:t xml:space="preserve"> Biodiversity loss is occurring</w:t>
      </w:r>
      <w:r w:rsidR="00F833BF">
        <w:rPr>
          <w:rFonts w:ascii="Calibri" w:hAnsi="Calibri"/>
        </w:rPr>
        <w:t xml:space="preserve"> at alarming rates, including 60% decrease across</w:t>
      </w:r>
      <w:r w:rsidR="00777F80">
        <w:rPr>
          <w:rFonts w:ascii="Calibri" w:hAnsi="Calibri"/>
        </w:rPr>
        <w:t xml:space="preserve"> UK</w:t>
      </w:r>
      <w:r w:rsidR="00F833BF">
        <w:rPr>
          <w:rFonts w:ascii="Calibri" w:hAnsi="Calibri"/>
        </w:rPr>
        <w:t xml:space="preserve"> farmland species.</w:t>
      </w:r>
      <w:r w:rsidR="00F833BF">
        <w:rPr>
          <w:rStyle w:val="EndnoteReference"/>
          <w:rFonts w:ascii="Calibri" w:hAnsi="Calibri"/>
        </w:rPr>
        <w:endnoteReference w:id="143"/>
      </w:r>
      <w:r w:rsidR="00F833BF">
        <w:rPr>
          <w:rFonts w:ascii="Calibri" w:hAnsi="Calibri"/>
        </w:rPr>
        <w:t xml:space="preserve"> </w:t>
      </w:r>
      <w:r w:rsidR="00F833BF" w:rsidRPr="007B766F">
        <w:rPr>
          <w:rFonts w:ascii="Calibri" w:hAnsi="Calibri"/>
        </w:rPr>
        <w:t>F</w:t>
      </w:r>
      <w:r w:rsidRPr="007B766F">
        <w:rPr>
          <w:rFonts w:ascii="Calibri" w:hAnsi="Calibri"/>
        </w:rPr>
        <w:t>o</w:t>
      </w:r>
      <w:r w:rsidR="003510CC" w:rsidRPr="007B766F">
        <w:rPr>
          <w:rFonts w:ascii="Calibri" w:hAnsi="Calibri"/>
        </w:rPr>
        <w:t>od production is highl</w:t>
      </w:r>
      <w:r w:rsidR="00F833BF" w:rsidRPr="007B766F">
        <w:rPr>
          <w:rFonts w:ascii="Calibri" w:hAnsi="Calibri"/>
        </w:rPr>
        <w:t xml:space="preserve">y vulnerable to climate change, </w:t>
      </w:r>
      <w:r w:rsidR="00777F80" w:rsidRPr="007B766F">
        <w:rPr>
          <w:rFonts w:ascii="Calibri" w:hAnsi="Calibri"/>
          <w:color w:val="3366FF"/>
        </w:rPr>
        <w:t>in Scotland this includes</w:t>
      </w:r>
      <w:r w:rsidR="00F833BF" w:rsidRPr="007B766F">
        <w:rPr>
          <w:rFonts w:ascii="Calibri" w:hAnsi="Calibri"/>
          <w:color w:val="3366FF"/>
        </w:rPr>
        <w:t xml:space="preserve"> the impact of extreme weather</w:t>
      </w:r>
      <w:r w:rsidR="00777F80" w:rsidRPr="007B766F">
        <w:rPr>
          <w:rFonts w:ascii="Calibri" w:hAnsi="Calibri"/>
          <w:color w:val="3366FF"/>
        </w:rPr>
        <w:t xml:space="preserve">, sea level rises, the warming of territorial waters, and logistical </w:t>
      </w:r>
      <w:r w:rsidR="007B766F" w:rsidRPr="007B766F">
        <w:rPr>
          <w:rFonts w:ascii="Calibri" w:hAnsi="Calibri"/>
          <w:color w:val="3366FF"/>
        </w:rPr>
        <w:t>challenges</w:t>
      </w:r>
      <w:r w:rsidR="00777F80" w:rsidRPr="007B766F">
        <w:rPr>
          <w:rFonts w:ascii="Calibri" w:hAnsi="Calibri"/>
          <w:color w:val="3366FF"/>
        </w:rPr>
        <w:t xml:space="preserve"> </w:t>
      </w:r>
      <w:r w:rsidR="007B766F" w:rsidRPr="007B766F">
        <w:rPr>
          <w:rFonts w:ascii="Calibri" w:hAnsi="Calibri"/>
          <w:color w:val="3366FF"/>
        </w:rPr>
        <w:t>as a peripheral region of Europe.</w:t>
      </w:r>
      <w:r w:rsidR="007B766F" w:rsidRPr="007B766F">
        <w:rPr>
          <w:rStyle w:val="EndnoteReference"/>
          <w:rFonts w:ascii="Calibri" w:hAnsi="Calibri"/>
          <w:color w:val="3366FF"/>
        </w:rPr>
        <w:endnoteReference w:id="144"/>
      </w:r>
      <w:r w:rsidR="007B766F">
        <w:rPr>
          <w:rFonts w:ascii="Calibri" w:hAnsi="Calibri"/>
        </w:rPr>
        <w:t xml:space="preserve"> The UK imports </w:t>
      </w:r>
      <w:r w:rsidR="00C0044F">
        <w:rPr>
          <w:rFonts w:ascii="Calibri" w:hAnsi="Calibri"/>
        </w:rPr>
        <w:t xml:space="preserve">50% of food and feed, the cost of this is expected to significantly increase. </w:t>
      </w:r>
    </w:p>
    <w:p w14:paraId="04E5255D" w14:textId="77777777" w:rsidR="007F7745" w:rsidRDefault="005007D2" w:rsidP="007F7745">
      <w:pPr>
        <w:ind w:left="720"/>
        <w:rPr>
          <w:rFonts w:ascii="Calibri" w:hAnsi="Calibri"/>
          <w:color w:val="3366FF"/>
        </w:rPr>
      </w:pPr>
      <w:r w:rsidRPr="007B766F">
        <w:rPr>
          <w:rFonts w:ascii="Calibri" w:hAnsi="Calibri"/>
          <w:color w:val="3366FF"/>
        </w:rPr>
        <w:t>Food contributes significantly to Scotland’s emissions, with just a</w:t>
      </w:r>
      <w:r w:rsidR="003928E9" w:rsidRPr="007B766F">
        <w:rPr>
          <w:rFonts w:ascii="Calibri" w:hAnsi="Calibri"/>
          <w:color w:val="3366FF"/>
        </w:rPr>
        <w:t xml:space="preserve">griculture and related land-use </w:t>
      </w:r>
      <w:r w:rsidRPr="007B766F">
        <w:rPr>
          <w:rFonts w:ascii="Calibri" w:hAnsi="Calibri"/>
          <w:color w:val="3366FF"/>
        </w:rPr>
        <w:t>accounting for</w:t>
      </w:r>
      <w:r w:rsidR="003928E9" w:rsidRPr="007B766F">
        <w:rPr>
          <w:rFonts w:ascii="Calibri" w:hAnsi="Calibri"/>
          <w:color w:val="3366FF"/>
        </w:rPr>
        <w:t xml:space="preserve"> 23% of </w:t>
      </w:r>
      <w:r w:rsidRPr="007B766F">
        <w:rPr>
          <w:rFonts w:ascii="Calibri" w:hAnsi="Calibri"/>
          <w:color w:val="3366FF"/>
        </w:rPr>
        <w:t>total</w:t>
      </w:r>
      <w:r w:rsidR="003928E9" w:rsidRPr="007B766F">
        <w:rPr>
          <w:rFonts w:ascii="Calibri" w:hAnsi="Calibri"/>
          <w:color w:val="3366FF"/>
        </w:rPr>
        <w:t xml:space="preserve"> emissions</w:t>
      </w:r>
      <w:r w:rsidRPr="007B766F">
        <w:rPr>
          <w:rFonts w:ascii="Calibri" w:hAnsi="Calibri"/>
          <w:color w:val="3366FF"/>
        </w:rPr>
        <w:t xml:space="preserve"> – including</w:t>
      </w:r>
      <w:r w:rsidR="003928E9" w:rsidRPr="007B766F">
        <w:rPr>
          <w:rFonts w:ascii="Calibri" w:hAnsi="Calibri"/>
          <w:color w:val="3366FF"/>
        </w:rPr>
        <w:t xml:space="preserve"> nearly all non-carbon dioxide emissions.</w:t>
      </w:r>
      <w:r w:rsidR="003928E9" w:rsidRPr="007B766F">
        <w:rPr>
          <w:rStyle w:val="EndnoteReference"/>
          <w:rFonts w:ascii="Calibri" w:hAnsi="Calibri"/>
          <w:color w:val="3366FF"/>
        </w:rPr>
        <w:endnoteReference w:id="145"/>
      </w:r>
      <w:r w:rsidR="003928E9" w:rsidRPr="007B766F">
        <w:rPr>
          <w:rFonts w:ascii="Calibri" w:hAnsi="Calibri"/>
          <w:color w:val="3366FF"/>
        </w:rPr>
        <w:t xml:space="preserve"> </w:t>
      </w:r>
      <w:r w:rsidR="00445AAD" w:rsidRPr="007B766F">
        <w:rPr>
          <w:rFonts w:ascii="Calibri" w:hAnsi="Calibri"/>
          <w:color w:val="3366FF"/>
        </w:rPr>
        <w:t>Scotland has performed better than the UK average but has still consistently missed statutory targets</w:t>
      </w:r>
      <w:r w:rsidR="00445AAD" w:rsidRPr="00445AAD">
        <w:rPr>
          <w:rFonts w:ascii="Calibri" w:hAnsi="Calibri"/>
          <w:color w:val="3366FF"/>
        </w:rPr>
        <w:t xml:space="preserve"> on emissions reductions.</w:t>
      </w:r>
      <w:r>
        <w:rPr>
          <w:rFonts w:ascii="Calibri" w:hAnsi="Calibri"/>
          <w:color w:val="3366FF"/>
        </w:rPr>
        <w:t xml:space="preserve"> It is important to note the significant </w:t>
      </w:r>
      <w:r w:rsidR="00422CDB">
        <w:rPr>
          <w:rFonts w:ascii="Calibri" w:hAnsi="Calibri"/>
          <w:color w:val="3366FF"/>
        </w:rPr>
        <w:t>gaps</w:t>
      </w:r>
      <w:r>
        <w:rPr>
          <w:rFonts w:ascii="Calibri" w:hAnsi="Calibri"/>
          <w:color w:val="3366FF"/>
        </w:rPr>
        <w:t xml:space="preserve"> in whole-food chain emission accounting, including in the public sector where there is no specific duty to report on food.</w:t>
      </w:r>
      <w:r w:rsidR="00911AEB">
        <w:rPr>
          <w:rStyle w:val="EndnoteReference"/>
          <w:rFonts w:ascii="Calibri" w:hAnsi="Calibri"/>
          <w:color w:val="3366FF"/>
        </w:rPr>
        <w:endnoteReference w:id="146"/>
      </w:r>
    </w:p>
    <w:p w14:paraId="371EF089" w14:textId="3D2528A0" w:rsidR="00B96117" w:rsidRPr="007F7745" w:rsidRDefault="007F7745" w:rsidP="007F7745">
      <w:pPr>
        <w:ind w:left="720"/>
        <w:rPr>
          <w:rFonts w:ascii="Calibri" w:hAnsi="Calibri"/>
        </w:rPr>
      </w:pPr>
      <w:r w:rsidRPr="007F7745">
        <w:rPr>
          <w:rFonts w:ascii="Calibri" w:hAnsi="Calibri"/>
        </w:rPr>
        <w:t xml:space="preserve">Organic food production has significantly </w:t>
      </w:r>
      <w:r>
        <w:rPr>
          <w:rFonts w:ascii="Calibri" w:hAnsi="Calibri"/>
        </w:rPr>
        <w:t>lower</w:t>
      </w:r>
      <w:r w:rsidRPr="007F7745">
        <w:rPr>
          <w:rFonts w:ascii="Calibri" w:hAnsi="Calibri"/>
        </w:rPr>
        <w:t xml:space="preserve"> impacts across the board, yet the UK land area and number of producers farming organically has steadily declined since 2008 – the latter </w:t>
      </w:r>
      <w:r w:rsidRPr="007F7745">
        <w:rPr>
          <w:rFonts w:ascii="Calibri" w:hAnsi="Calibri"/>
          <w:b/>
        </w:rPr>
        <w:t>by 33%</w:t>
      </w:r>
      <w:r w:rsidRPr="007F7745">
        <w:rPr>
          <w:rFonts w:ascii="Calibri" w:hAnsi="Calibri"/>
        </w:rPr>
        <w:t>.</w:t>
      </w:r>
      <w:r w:rsidRPr="007F7745">
        <w:rPr>
          <w:rStyle w:val="EndnoteReference"/>
          <w:rFonts w:ascii="Calibri" w:hAnsi="Calibri"/>
        </w:rPr>
        <w:endnoteReference w:id="147"/>
      </w:r>
      <w:r>
        <w:rPr>
          <w:rFonts w:ascii="Calibri" w:hAnsi="Calibri"/>
        </w:rPr>
        <w:br/>
      </w:r>
    </w:p>
    <w:p w14:paraId="56A591D9" w14:textId="67A1DD9D" w:rsidR="00071382" w:rsidRPr="006D4AB3" w:rsidRDefault="00071382" w:rsidP="00C0044F">
      <w:pPr>
        <w:ind w:left="2160" w:hanging="2160"/>
        <w:rPr>
          <w:rFonts w:ascii="Calibri" w:hAnsi="Calibri"/>
        </w:rPr>
      </w:pPr>
      <w:r w:rsidRPr="00D431BE">
        <w:rPr>
          <w:rFonts w:ascii="Calibri" w:hAnsi="Calibri"/>
          <w:b/>
        </w:rPr>
        <w:t>Recommendation 14</w:t>
      </w:r>
      <w:r>
        <w:rPr>
          <w:rFonts w:ascii="Calibri" w:hAnsi="Calibri"/>
        </w:rPr>
        <w:t>:</w:t>
      </w:r>
      <w:r>
        <w:rPr>
          <w:rFonts w:ascii="Calibri" w:hAnsi="Calibri"/>
        </w:rPr>
        <w:tab/>
      </w:r>
      <w:r w:rsidR="00C0044F">
        <w:rPr>
          <w:rFonts w:ascii="Calibri" w:hAnsi="Calibri"/>
        </w:rPr>
        <w:t>Develop closed-loop methods for reducing environmental impacts across the food system and provide producers with practical and financial support to convert to more sustainable practices. Adopt statutory targets on impacts with independent monitoring.</w:t>
      </w:r>
    </w:p>
    <w:p w14:paraId="2C7807A9" w14:textId="77777777" w:rsidR="00506EFF" w:rsidRPr="006D4AB3" w:rsidRDefault="00506EFF" w:rsidP="00BB5CB1">
      <w:pPr>
        <w:rPr>
          <w:rFonts w:ascii="Calibri" w:hAnsi="Calibri"/>
          <w:b/>
          <w:sz w:val="24"/>
        </w:rPr>
      </w:pPr>
      <w:r w:rsidRPr="006D4AB3">
        <w:rPr>
          <w:rFonts w:ascii="Calibri" w:hAnsi="Calibri"/>
          <w:b/>
          <w:sz w:val="28"/>
        </w:rPr>
        <w:lastRenderedPageBreak/>
        <w:t>Part 3:</w:t>
      </w:r>
      <w:r w:rsidRPr="006D4AB3">
        <w:rPr>
          <w:rFonts w:ascii="Calibri" w:hAnsi="Calibri"/>
          <w:b/>
          <w:sz w:val="28"/>
        </w:rPr>
        <w:tab/>
        <w:t>Responding directly to the Committee on ESCR’s November 2015 LOIs</w:t>
      </w:r>
    </w:p>
    <w:p w14:paraId="13CAAD72" w14:textId="7D846A9A" w:rsidR="00506EFF" w:rsidRPr="0031505B" w:rsidRDefault="00506EFF" w:rsidP="007A55E0">
      <w:pPr>
        <w:pStyle w:val="SingleTxtG"/>
        <w:tabs>
          <w:tab w:val="left" w:pos="10206"/>
        </w:tabs>
        <w:spacing w:after="160" w:line="240" w:lineRule="auto"/>
        <w:ind w:right="567" w:hanging="414"/>
        <w:jc w:val="left"/>
        <w:rPr>
          <w:rFonts w:ascii="Calibri" w:hAnsi="Calibri"/>
          <w:sz w:val="18"/>
          <w:lang w:val="en-US"/>
        </w:rPr>
      </w:pPr>
      <w:r w:rsidRPr="0031505B">
        <w:rPr>
          <w:rFonts w:ascii="Calibri" w:hAnsi="Calibri"/>
          <w:sz w:val="18"/>
          <w:lang w:val="en-US"/>
        </w:rPr>
        <w:t>21.</w:t>
      </w:r>
      <w:r w:rsidRPr="0031505B">
        <w:rPr>
          <w:rFonts w:ascii="Calibri" w:hAnsi="Calibri"/>
          <w:sz w:val="18"/>
          <w:lang w:val="en-US"/>
        </w:rPr>
        <w:tab/>
        <w:t xml:space="preserve">Please clarify how </w:t>
      </w:r>
      <w:r w:rsidRPr="0031505B">
        <w:rPr>
          <w:rFonts w:ascii="Calibri" w:hAnsi="Calibri"/>
          <w:sz w:val="18"/>
        </w:rPr>
        <w:t>the</w:t>
      </w:r>
      <w:r w:rsidRPr="0031505B">
        <w:rPr>
          <w:rFonts w:ascii="Calibri" w:hAnsi="Calibri"/>
          <w:sz w:val="18"/>
          <w:lang w:val="en-US"/>
        </w:rPr>
        <w:t xml:space="preserve"> </w:t>
      </w:r>
      <w:r w:rsidRPr="0031505B">
        <w:rPr>
          <w:rFonts w:ascii="Calibri" w:hAnsi="Calibri"/>
          <w:b/>
          <w:sz w:val="18"/>
          <w:lang w:val="en-US"/>
        </w:rPr>
        <w:t>poverty line</w:t>
      </w:r>
      <w:r w:rsidR="007A55E0">
        <w:rPr>
          <w:rFonts w:ascii="Calibri" w:hAnsi="Calibri"/>
          <w:sz w:val="18"/>
          <w:lang w:val="en-US"/>
        </w:rPr>
        <w:t xml:space="preserve"> is determined</w:t>
      </w:r>
      <w:r w:rsidRPr="0031505B">
        <w:rPr>
          <w:rFonts w:ascii="Calibri" w:hAnsi="Calibri"/>
          <w:sz w:val="18"/>
          <w:lang w:val="en-US"/>
        </w:rPr>
        <w:t xml:space="preserve">, and where it currently stands in relation to the </w:t>
      </w:r>
      <w:r w:rsidRPr="0031505B">
        <w:rPr>
          <w:rFonts w:ascii="Calibri" w:hAnsi="Calibri"/>
          <w:b/>
          <w:sz w:val="18"/>
          <w:lang w:val="en-US"/>
        </w:rPr>
        <w:t>cost of living</w:t>
      </w:r>
      <w:r w:rsidRPr="0031505B">
        <w:rPr>
          <w:rFonts w:ascii="Calibri" w:hAnsi="Calibri"/>
          <w:sz w:val="18"/>
          <w:lang w:val="en-US"/>
        </w:rPr>
        <w:t xml:space="preserve">. Please provide updated </w:t>
      </w:r>
      <w:r w:rsidRPr="0031505B">
        <w:rPr>
          <w:rFonts w:ascii="Calibri" w:hAnsi="Calibri"/>
          <w:b/>
          <w:sz w:val="18"/>
          <w:lang w:val="en-US"/>
        </w:rPr>
        <w:t>disaggregated data</w:t>
      </w:r>
      <w:r w:rsidRPr="0031505B">
        <w:rPr>
          <w:rFonts w:ascii="Calibri" w:hAnsi="Calibri"/>
          <w:sz w:val="18"/>
          <w:lang w:val="en-US"/>
        </w:rPr>
        <w:t xml:space="preserve"> on the poverty rate and information on </w:t>
      </w:r>
      <w:r w:rsidRPr="0031505B">
        <w:rPr>
          <w:rFonts w:ascii="Calibri" w:hAnsi="Calibri"/>
          <w:b/>
          <w:sz w:val="18"/>
          <w:lang w:val="en-US"/>
        </w:rPr>
        <w:t>measures adopted to reduce</w:t>
      </w:r>
      <w:r w:rsidRPr="0031505B">
        <w:rPr>
          <w:rFonts w:ascii="Calibri" w:hAnsi="Calibri"/>
          <w:sz w:val="18"/>
          <w:lang w:val="en-US"/>
        </w:rPr>
        <w:t xml:space="preserve"> poverty, particularly among </w:t>
      </w:r>
      <w:r w:rsidRPr="0031505B">
        <w:rPr>
          <w:rFonts w:ascii="Calibri" w:hAnsi="Calibri"/>
          <w:b/>
          <w:sz w:val="18"/>
          <w:lang w:val="en-US"/>
        </w:rPr>
        <w:t>children</w:t>
      </w:r>
      <w:r w:rsidRPr="0031505B">
        <w:rPr>
          <w:rFonts w:ascii="Calibri" w:hAnsi="Calibri"/>
          <w:sz w:val="18"/>
          <w:lang w:val="en-US"/>
        </w:rPr>
        <w:t xml:space="preserve"> and </w:t>
      </w:r>
      <w:r w:rsidRPr="0031505B">
        <w:rPr>
          <w:rFonts w:ascii="Calibri" w:hAnsi="Calibri"/>
          <w:b/>
          <w:sz w:val="18"/>
          <w:lang w:val="en-US"/>
        </w:rPr>
        <w:t>marginalized and disadvantaged</w:t>
      </w:r>
      <w:r w:rsidRPr="0031505B">
        <w:rPr>
          <w:rFonts w:ascii="Calibri" w:hAnsi="Calibri"/>
          <w:sz w:val="18"/>
          <w:lang w:val="en-US"/>
        </w:rPr>
        <w:t xml:space="preserve"> individuals and groups.</w:t>
      </w:r>
    </w:p>
    <w:p w14:paraId="616CBA17" w14:textId="5911C670" w:rsidR="00506EFF" w:rsidRPr="0031505B" w:rsidRDefault="00506EFF" w:rsidP="007A55E0">
      <w:pPr>
        <w:pStyle w:val="SingleTxtG"/>
        <w:spacing w:after="160" w:line="240" w:lineRule="auto"/>
        <w:ind w:right="425"/>
        <w:jc w:val="left"/>
        <w:rPr>
          <w:rFonts w:ascii="Calibri" w:hAnsi="Calibri"/>
          <w:sz w:val="18"/>
          <w:szCs w:val="18"/>
        </w:rPr>
      </w:pPr>
      <w:r w:rsidRPr="0031505B">
        <w:rPr>
          <w:rFonts w:ascii="Calibri" w:hAnsi="Calibri"/>
          <w:sz w:val="18"/>
        </w:rPr>
        <w:t>22.</w:t>
      </w:r>
      <w:r w:rsidRPr="0031505B">
        <w:rPr>
          <w:rFonts w:ascii="Calibri" w:hAnsi="Calibri"/>
          <w:sz w:val="18"/>
        </w:rPr>
        <w:tab/>
        <w:t xml:space="preserve">Please provide information on how the State party ensures that all individuals, in particular members of </w:t>
      </w:r>
      <w:r w:rsidRPr="0031505B">
        <w:rPr>
          <w:rFonts w:ascii="Calibri" w:hAnsi="Calibri"/>
          <w:b/>
          <w:sz w:val="18"/>
        </w:rPr>
        <w:t>disadvantaged and marginalized</w:t>
      </w:r>
      <w:r w:rsidRPr="0031505B">
        <w:rPr>
          <w:rFonts w:ascii="Calibri" w:hAnsi="Calibri"/>
          <w:sz w:val="18"/>
        </w:rPr>
        <w:t xml:space="preserve"> groups, have access to adequ</w:t>
      </w:r>
      <w:r w:rsidR="007A55E0">
        <w:rPr>
          <w:rFonts w:ascii="Calibri" w:hAnsi="Calibri"/>
          <w:sz w:val="18"/>
        </w:rPr>
        <w:t xml:space="preserve">ate and affordable food. Please </w:t>
      </w:r>
      <w:r w:rsidRPr="0031505B">
        <w:rPr>
          <w:rFonts w:ascii="Calibri" w:hAnsi="Calibri"/>
          <w:sz w:val="18"/>
        </w:rPr>
        <w:t xml:space="preserve">provide information </w:t>
      </w:r>
      <w:r w:rsidR="007A55E0">
        <w:rPr>
          <w:rFonts w:ascii="Calibri" w:hAnsi="Calibri"/>
          <w:sz w:val="18"/>
        </w:rPr>
        <w:br/>
      </w:r>
      <w:r w:rsidRPr="0031505B">
        <w:rPr>
          <w:rFonts w:ascii="Calibri" w:hAnsi="Calibri"/>
          <w:sz w:val="18"/>
        </w:rPr>
        <w:t xml:space="preserve">on </w:t>
      </w:r>
      <w:r w:rsidRPr="0031505B">
        <w:rPr>
          <w:rFonts w:ascii="Calibri" w:hAnsi="Calibri"/>
          <w:b/>
          <w:sz w:val="18"/>
        </w:rPr>
        <w:t>measures adopted to address</w:t>
      </w:r>
      <w:r w:rsidRPr="0031505B">
        <w:rPr>
          <w:rFonts w:ascii="Calibri" w:hAnsi="Calibri"/>
          <w:sz w:val="18"/>
        </w:rPr>
        <w:t xml:space="preserve"> food insecurity and to reduce the reliance on emergency food aid from food banks. </w:t>
      </w:r>
    </w:p>
    <w:p w14:paraId="232BEFBB" w14:textId="77777777" w:rsidR="00506EFF" w:rsidRPr="0031505B" w:rsidRDefault="00506EFF" w:rsidP="007A55E0">
      <w:pPr>
        <w:pStyle w:val="SingleTxtG"/>
        <w:tabs>
          <w:tab w:val="left" w:pos="9498"/>
        </w:tabs>
        <w:spacing w:after="160" w:line="240" w:lineRule="auto"/>
        <w:ind w:left="0" w:right="567"/>
        <w:jc w:val="right"/>
        <w:rPr>
          <w:rFonts w:ascii="Calibri" w:hAnsi="Calibri"/>
          <w:sz w:val="18"/>
          <w:szCs w:val="18"/>
        </w:rPr>
      </w:pPr>
      <w:r w:rsidRPr="0031505B">
        <w:rPr>
          <w:rFonts w:ascii="Calibri" w:hAnsi="Calibri"/>
          <w:sz w:val="18"/>
          <w:szCs w:val="18"/>
        </w:rPr>
        <w:t>[</w:t>
      </w:r>
      <w:proofErr w:type="gramStart"/>
      <w:r w:rsidRPr="0031505B">
        <w:rPr>
          <w:rFonts w:ascii="Calibri" w:hAnsi="Calibri"/>
          <w:b/>
          <w:sz w:val="18"/>
          <w:szCs w:val="18"/>
        </w:rPr>
        <w:t>emphasis</w:t>
      </w:r>
      <w:proofErr w:type="gramEnd"/>
      <w:r w:rsidRPr="0031505B">
        <w:rPr>
          <w:rFonts w:ascii="Calibri" w:hAnsi="Calibri"/>
          <w:b/>
          <w:sz w:val="18"/>
          <w:szCs w:val="18"/>
        </w:rPr>
        <w:t xml:space="preserve"> added</w:t>
      </w:r>
      <w:r w:rsidRPr="0031505B">
        <w:rPr>
          <w:rFonts w:ascii="Calibri" w:hAnsi="Calibri"/>
          <w:sz w:val="18"/>
          <w:szCs w:val="18"/>
        </w:rPr>
        <w:t>]</w:t>
      </w:r>
    </w:p>
    <w:p w14:paraId="67989792" w14:textId="738F402F" w:rsidR="00BD4034" w:rsidRPr="006D4AB3" w:rsidRDefault="00506EFF" w:rsidP="00BD4034">
      <w:pPr>
        <w:ind w:left="720" w:hanging="720"/>
        <w:rPr>
          <w:rFonts w:ascii="Calibri" w:hAnsi="Calibri"/>
          <w:i/>
        </w:rPr>
      </w:pPr>
      <w:r w:rsidRPr="00162D07">
        <w:rPr>
          <w:rFonts w:ascii="Calibri" w:hAnsi="Calibri"/>
          <w:b/>
        </w:rPr>
        <w:t>21:</w:t>
      </w:r>
      <w:r w:rsidRPr="006D4AB3">
        <w:rPr>
          <w:rFonts w:ascii="Calibri" w:hAnsi="Calibri"/>
        </w:rPr>
        <w:t xml:space="preserve"> </w:t>
      </w:r>
      <w:r w:rsidRPr="006D4AB3">
        <w:rPr>
          <w:rFonts w:ascii="Calibri" w:hAnsi="Calibri"/>
        </w:rPr>
        <w:tab/>
      </w:r>
      <w:r w:rsidR="00BD4034" w:rsidRPr="006D4AB3">
        <w:rPr>
          <w:rFonts w:ascii="Calibri" w:hAnsi="Calibri"/>
        </w:rPr>
        <w:t>The</w:t>
      </w:r>
      <w:r w:rsidR="00E67BB6" w:rsidRPr="006D4AB3">
        <w:rPr>
          <w:rFonts w:ascii="Calibri" w:hAnsi="Calibri"/>
        </w:rPr>
        <w:t xml:space="preserve"> </w:t>
      </w:r>
      <w:r w:rsidR="00E67BB6" w:rsidRPr="006D4AB3">
        <w:rPr>
          <w:rFonts w:ascii="Calibri" w:hAnsi="Calibri"/>
          <w:b/>
        </w:rPr>
        <w:t>official</w:t>
      </w:r>
      <w:r w:rsidR="00BD4034" w:rsidRPr="006D4AB3">
        <w:rPr>
          <w:rFonts w:ascii="Calibri" w:hAnsi="Calibri"/>
        </w:rPr>
        <w:t xml:space="preserve"> </w:t>
      </w:r>
      <w:r w:rsidR="00F71694" w:rsidRPr="006D4AB3">
        <w:rPr>
          <w:rFonts w:ascii="Calibri" w:hAnsi="Calibri"/>
          <w:b/>
        </w:rPr>
        <w:t>measurements</w:t>
      </w:r>
      <w:r w:rsidR="00F71694" w:rsidRPr="006D4AB3">
        <w:rPr>
          <w:rFonts w:ascii="Calibri" w:hAnsi="Calibri"/>
        </w:rPr>
        <w:t xml:space="preserve"> of poverty </w:t>
      </w:r>
      <w:r w:rsidR="00BD4034" w:rsidRPr="006D4AB3">
        <w:rPr>
          <w:rFonts w:ascii="Calibri" w:hAnsi="Calibri"/>
        </w:rPr>
        <w:t xml:space="preserve">in the UK </w:t>
      </w:r>
      <w:r w:rsidR="00F71694" w:rsidRPr="006D4AB3">
        <w:rPr>
          <w:rFonts w:ascii="Calibri" w:hAnsi="Calibri"/>
        </w:rPr>
        <w:t>are</w:t>
      </w:r>
      <w:r w:rsidR="00BD4034" w:rsidRPr="006D4AB3">
        <w:rPr>
          <w:rFonts w:ascii="Calibri" w:hAnsi="Calibri"/>
        </w:rPr>
        <w:t xml:space="preserve"> relative to median income – </w:t>
      </w:r>
      <w:r w:rsidR="00F71694" w:rsidRPr="006D4AB3">
        <w:rPr>
          <w:rFonts w:ascii="Calibri" w:hAnsi="Calibri"/>
        </w:rPr>
        <w:t xml:space="preserve">there is no </w:t>
      </w:r>
      <w:r w:rsidR="00AC7B6F" w:rsidRPr="006D4AB3">
        <w:rPr>
          <w:rFonts w:ascii="Calibri" w:hAnsi="Calibri"/>
        </w:rPr>
        <w:t xml:space="preserve">absolute poverty line </w:t>
      </w:r>
      <w:r w:rsidR="00BD4034" w:rsidRPr="006D4AB3">
        <w:rPr>
          <w:rFonts w:ascii="Calibri" w:hAnsi="Calibri"/>
        </w:rPr>
        <w:t>calculated by r</w:t>
      </w:r>
      <w:r w:rsidR="008603E6" w:rsidRPr="006D4AB3">
        <w:rPr>
          <w:rFonts w:ascii="Calibri" w:hAnsi="Calibri"/>
        </w:rPr>
        <w:t xml:space="preserve">eference to the cost of living </w:t>
      </w:r>
      <w:r w:rsidR="008603E6" w:rsidRPr="006D4AB3">
        <w:rPr>
          <w:rFonts w:ascii="Calibri" w:hAnsi="Calibri"/>
          <w:i/>
        </w:rPr>
        <w:t xml:space="preserve">– see </w:t>
      </w:r>
      <w:r w:rsidR="00E67BB6" w:rsidRPr="006D4AB3">
        <w:rPr>
          <w:rFonts w:ascii="Calibri" w:hAnsi="Calibri"/>
          <w:i/>
        </w:rPr>
        <w:t>page 2</w:t>
      </w:r>
      <w:r w:rsidR="00AF5864">
        <w:rPr>
          <w:rFonts w:ascii="Calibri" w:hAnsi="Calibri"/>
          <w:i/>
        </w:rPr>
        <w:t xml:space="preserve"> UK</w:t>
      </w:r>
      <w:r w:rsidR="00AC7B6F" w:rsidRPr="006D4AB3">
        <w:rPr>
          <w:rFonts w:ascii="Calibri" w:hAnsi="Calibri"/>
          <w:i/>
        </w:rPr>
        <w:t xml:space="preserve"> </w:t>
      </w:r>
      <w:r w:rsidR="00E67BB6" w:rsidRPr="006D4AB3">
        <w:rPr>
          <w:rFonts w:ascii="Calibri" w:hAnsi="Calibri"/>
          <w:i/>
        </w:rPr>
        <w:t>Poverty Lines</w:t>
      </w:r>
      <w:r w:rsidR="00203714">
        <w:rPr>
          <w:rFonts w:ascii="Calibri" w:hAnsi="Calibri"/>
          <w:i/>
        </w:rPr>
        <w:t xml:space="preserve"> box</w:t>
      </w:r>
      <w:r w:rsidR="00E67BB6" w:rsidRPr="006D4AB3">
        <w:rPr>
          <w:rFonts w:ascii="Calibri" w:hAnsi="Calibri"/>
          <w:i/>
        </w:rPr>
        <w:t>.</w:t>
      </w:r>
    </w:p>
    <w:p w14:paraId="63FBB68C" w14:textId="26991B04" w:rsidR="00E67BB6" w:rsidRPr="006D4AB3" w:rsidRDefault="008603E6" w:rsidP="003F07F8">
      <w:pPr>
        <w:ind w:left="720" w:hanging="720"/>
        <w:rPr>
          <w:rFonts w:ascii="Calibri" w:hAnsi="Calibri"/>
        </w:rPr>
      </w:pPr>
      <w:r w:rsidRPr="006D4AB3">
        <w:rPr>
          <w:rFonts w:ascii="Calibri" w:hAnsi="Calibri"/>
          <w:i/>
        </w:rPr>
        <w:tab/>
      </w:r>
      <w:r w:rsidRPr="006D4AB3">
        <w:rPr>
          <w:rFonts w:ascii="Calibri" w:hAnsi="Calibri"/>
          <w:b/>
        </w:rPr>
        <w:t xml:space="preserve">The </w:t>
      </w:r>
      <w:r w:rsidR="00E67BB6" w:rsidRPr="006D4AB3">
        <w:rPr>
          <w:rFonts w:ascii="Calibri" w:hAnsi="Calibri"/>
          <w:b/>
        </w:rPr>
        <w:t>‘</w:t>
      </w:r>
      <w:r w:rsidRPr="006D4AB3">
        <w:rPr>
          <w:rFonts w:ascii="Calibri" w:hAnsi="Calibri"/>
          <w:b/>
        </w:rPr>
        <w:t>relative poverty line</w:t>
      </w:r>
      <w:r w:rsidR="00E67BB6" w:rsidRPr="006D4AB3">
        <w:rPr>
          <w:rFonts w:ascii="Calibri" w:hAnsi="Calibri"/>
          <w:b/>
        </w:rPr>
        <w:t>’</w:t>
      </w:r>
      <w:r w:rsidRPr="006D4AB3">
        <w:rPr>
          <w:rFonts w:ascii="Calibri" w:hAnsi="Calibri"/>
        </w:rPr>
        <w:t xml:space="preserve"> is 60% </w:t>
      </w:r>
      <w:r w:rsidR="001071A5">
        <w:rPr>
          <w:rFonts w:ascii="Calibri" w:hAnsi="Calibri"/>
        </w:rPr>
        <w:t>of</w:t>
      </w:r>
      <w:r w:rsidRPr="006D4AB3">
        <w:rPr>
          <w:rFonts w:ascii="Calibri" w:hAnsi="Calibri"/>
        </w:rPr>
        <w:t xml:space="preserve"> the median </w:t>
      </w:r>
      <w:r w:rsidR="001071A5" w:rsidRPr="006D4AB3">
        <w:rPr>
          <w:rFonts w:ascii="Calibri" w:hAnsi="Calibri"/>
        </w:rPr>
        <w:t>income;</w:t>
      </w:r>
      <w:r w:rsidRPr="006D4AB3">
        <w:rPr>
          <w:rFonts w:ascii="Calibri" w:hAnsi="Calibri"/>
        </w:rPr>
        <w:t xml:space="preserve"> </w:t>
      </w:r>
      <w:r w:rsidR="003066E4" w:rsidRPr="006D4AB3">
        <w:rPr>
          <w:rFonts w:ascii="Calibri" w:hAnsi="Calibri"/>
        </w:rPr>
        <w:t xml:space="preserve">it is equivalised according to household need, for example number of people </w:t>
      </w:r>
      <w:r w:rsidR="00621DC1" w:rsidRPr="006D4AB3">
        <w:rPr>
          <w:rFonts w:ascii="Calibri" w:hAnsi="Calibri"/>
        </w:rPr>
        <w:t xml:space="preserve">– </w:t>
      </w:r>
      <w:r w:rsidR="00621DC1" w:rsidRPr="006D4AB3">
        <w:rPr>
          <w:rFonts w:ascii="Calibri" w:hAnsi="Calibri"/>
          <w:b/>
        </w:rPr>
        <w:t xml:space="preserve">21% of </w:t>
      </w:r>
      <w:r w:rsidR="00E901FF">
        <w:rPr>
          <w:rFonts w:ascii="Calibri" w:hAnsi="Calibri"/>
          <w:b/>
        </w:rPr>
        <w:t>the population</w:t>
      </w:r>
      <w:r w:rsidR="00621DC1" w:rsidRPr="006D4AB3">
        <w:rPr>
          <w:rFonts w:ascii="Calibri" w:hAnsi="Calibri"/>
          <w:b/>
        </w:rPr>
        <w:t xml:space="preserve"> </w:t>
      </w:r>
      <w:r w:rsidR="003066E4" w:rsidRPr="006D4AB3">
        <w:rPr>
          <w:rFonts w:ascii="Calibri" w:hAnsi="Calibri"/>
          <w:b/>
        </w:rPr>
        <w:t>fall</w:t>
      </w:r>
      <w:r w:rsidR="00621DC1" w:rsidRPr="006D4AB3">
        <w:rPr>
          <w:rFonts w:ascii="Calibri" w:hAnsi="Calibri"/>
          <w:b/>
        </w:rPr>
        <w:t xml:space="preserve"> below this</w:t>
      </w:r>
      <w:r w:rsidR="003066E4" w:rsidRPr="006D4AB3">
        <w:rPr>
          <w:rFonts w:ascii="Calibri" w:hAnsi="Calibri"/>
        </w:rPr>
        <w:t xml:space="preserve"> in 2013/14 (most recent data).</w:t>
      </w:r>
      <w:r w:rsidR="00621DC1" w:rsidRPr="006D4AB3">
        <w:rPr>
          <w:rFonts w:ascii="Calibri" w:hAnsi="Calibri"/>
        </w:rPr>
        <w:br/>
      </w:r>
      <w:r w:rsidRPr="006D4AB3">
        <w:rPr>
          <w:rFonts w:ascii="Calibri" w:hAnsi="Calibri"/>
        </w:rPr>
        <w:t xml:space="preserve">The UK also reports on </w:t>
      </w:r>
      <w:r w:rsidRPr="006D4AB3">
        <w:rPr>
          <w:rFonts w:ascii="Calibri" w:hAnsi="Calibri"/>
          <w:b/>
        </w:rPr>
        <w:t>‘absolute poverty’</w:t>
      </w:r>
      <w:r w:rsidRPr="006D4AB3">
        <w:rPr>
          <w:rFonts w:ascii="Calibri" w:hAnsi="Calibri"/>
        </w:rPr>
        <w:t xml:space="preserve"> –</w:t>
      </w:r>
      <w:r w:rsidR="00621DC1" w:rsidRPr="006D4AB3">
        <w:rPr>
          <w:rFonts w:ascii="Calibri" w:hAnsi="Calibri"/>
        </w:rPr>
        <w:t xml:space="preserve"> </w:t>
      </w:r>
      <w:r w:rsidRPr="006D4AB3">
        <w:rPr>
          <w:rFonts w:ascii="Calibri" w:hAnsi="Calibri"/>
        </w:rPr>
        <w:t xml:space="preserve">this </w:t>
      </w:r>
      <w:r w:rsidR="00621DC1" w:rsidRPr="006D4AB3">
        <w:rPr>
          <w:rFonts w:ascii="Calibri" w:hAnsi="Calibri"/>
        </w:rPr>
        <w:t xml:space="preserve">too is </w:t>
      </w:r>
      <w:r w:rsidRPr="006D4AB3">
        <w:rPr>
          <w:rFonts w:ascii="Calibri" w:hAnsi="Calibri"/>
        </w:rPr>
        <w:t>n</w:t>
      </w:r>
      <w:r w:rsidR="00621DC1" w:rsidRPr="006D4AB3">
        <w:rPr>
          <w:rFonts w:ascii="Calibri" w:hAnsi="Calibri"/>
        </w:rPr>
        <w:t>ot fixed to the cos</w:t>
      </w:r>
      <w:r w:rsidR="00E901FF">
        <w:rPr>
          <w:rFonts w:ascii="Calibri" w:hAnsi="Calibri"/>
        </w:rPr>
        <w:t xml:space="preserve">t of living and is calculated as </w:t>
      </w:r>
      <w:r w:rsidRPr="006D4AB3">
        <w:rPr>
          <w:rFonts w:ascii="Calibri" w:hAnsi="Calibri"/>
        </w:rPr>
        <w:t xml:space="preserve">60% </w:t>
      </w:r>
      <w:r w:rsidR="00E901FF">
        <w:rPr>
          <w:rFonts w:ascii="Calibri" w:hAnsi="Calibri"/>
        </w:rPr>
        <w:t>below of</w:t>
      </w:r>
      <w:r w:rsidRPr="006D4AB3">
        <w:rPr>
          <w:rFonts w:ascii="Calibri" w:hAnsi="Calibri"/>
        </w:rPr>
        <w:t xml:space="preserve"> median income in 2010</w:t>
      </w:r>
      <w:r w:rsidR="00E901FF">
        <w:rPr>
          <w:rFonts w:ascii="Calibri" w:hAnsi="Calibri"/>
        </w:rPr>
        <w:t>/11</w:t>
      </w:r>
      <w:r w:rsidR="00621DC1" w:rsidRPr="006D4AB3">
        <w:rPr>
          <w:rFonts w:ascii="Calibri" w:hAnsi="Calibri"/>
        </w:rPr>
        <w:t xml:space="preserve"> – </w:t>
      </w:r>
      <w:r w:rsidR="00621DC1" w:rsidRPr="006D4AB3">
        <w:rPr>
          <w:rFonts w:ascii="Calibri" w:hAnsi="Calibri"/>
          <w:b/>
        </w:rPr>
        <w:t xml:space="preserve">23% of </w:t>
      </w:r>
      <w:r w:rsidR="00E901FF">
        <w:rPr>
          <w:rFonts w:ascii="Calibri" w:hAnsi="Calibri"/>
          <w:b/>
        </w:rPr>
        <w:t>the population</w:t>
      </w:r>
      <w:r w:rsidR="00621DC1" w:rsidRPr="006D4AB3">
        <w:rPr>
          <w:rFonts w:ascii="Calibri" w:hAnsi="Calibri"/>
          <w:b/>
        </w:rPr>
        <w:t xml:space="preserve"> fall below this</w:t>
      </w:r>
      <w:r w:rsidRPr="006D4AB3">
        <w:rPr>
          <w:rFonts w:ascii="Calibri" w:hAnsi="Calibri"/>
        </w:rPr>
        <w:t xml:space="preserve">. </w:t>
      </w:r>
      <w:r w:rsidR="001071A5">
        <w:rPr>
          <w:rFonts w:ascii="Calibri" w:hAnsi="Calibri"/>
        </w:rPr>
        <w:br/>
      </w:r>
      <w:r w:rsidR="00E901FF">
        <w:rPr>
          <w:rFonts w:ascii="Calibri" w:hAnsi="Calibri"/>
          <w:b/>
        </w:rPr>
        <w:t>Combined m</w:t>
      </w:r>
      <w:r w:rsidR="00426B44" w:rsidRPr="001071A5">
        <w:rPr>
          <w:rFonts w:ascii="Calibri" w:hAnsi="Calibri"/>
          <w:b/>
        </w:rPr>
        <w:t>aterial deprivation</w:t>
      </w:r>
      <w:r w:rsidR="00426B44">
        <w:rPr>
          <w:rFonts w:ascii="Calibri" w:hAnsi="Calibri"/>
        </w:rPr>
        <w:t xml:space="preserve"> (the inability to afford </w:t>
      </w:r>
      <w:r w:rsidR="001071A5">
        <w:rPr>
          <w:rFonts w:ascii="Calibri" w:hAnsi="Calibri"/>
        </w:rPr>
        <w:t xml:space="preserve">necessities) </w:t>
      </w:r>
      <w:r w:rsidR="00E901FF">
        <w:rPr>
          <w:rFonts w:ascii="Calibri" w:hAnsi="Calibri"/>
        </w:rPr>
        <w:t>and</w:t>
      </w:r>
      <w:r w:rsidR="001071A5" w:rsidRPr="001071A5">
        <w:rPr>
          <w:rFonts w:ascii="Calibri" w:hAnsi="Calibri"/>
          <w:b/>
        </w:rPr>
        <w:t xml:space="preserve"> low income</w:t>
      </w:r>
      <w:r w:rsidR="001071A5">
        <w:rPr>
          <w:rFonts w:ascii="Calibri" w:hAnsi="Calibri"/>
        </w:rPr>
        <w:t xml:space="preserve"> (calculated at 70% of the median income) </w:t>
      </w:r>
      <w:r w:rsidR="00E901FF">
        <w:rPr>
          <w:rFonts w:ascii="Calibri" w:hAnsi="Calibri"/>
        </w:rPr>
        <w:t xml:space="preserve">was developed specifically to understand child poverty, </w:t>
      </w:r>
      <w:r w:rsidR="00E901FF">
        <w:rPr>
          <w:rFonts w:ascii="Calibri" w:hAnsi="Calibri"/>
          <w:b/>
        </w:rPr>
        <w:t>impacting</w:t>
      </w:r>
      <w:r w:rsidR="001071A5" w:rsidRPr="00272167">
        <w:rPr>
          <w:rFonts w:ascii="Calibri" w:hAnsi="Calibri"/>
          <w:b/>
        </w:rPr>
        <w:t xml:space="preserve"> </w:t>
      </w:r>
      <w:r w:rsidR="00B16C0E" w:rsidRPr="00272167">
        <w:rPr>
          <w:rFonts w:ascii="Calibri" w:hAnsi="Calibri"/>
          <w:b/>
        </w:rPr>
        <w:t>13</w:t>
      </w:r>
      <w:r w:rsidR="001071A5" w:rsidRPr="00272167">
        <w:rPr>
          <w:rFonts w:ascii="Calibri" w:hAnsi="Calibri"/>
          <w:b/>
        </w:rPr>
        <w:t>%</w:t>
      </w:r>
      <w:r w:rsidR="00B16C0E" w:rsidRPr="00272167">
        <w:rPr>
          <w:rFonts w:ascii="Calibri" w:hAnsi="Calibri"/>
          <w:b/>
        </w:rPr>
        <w:t xml:space="preserve"> of</w:t>
      </w:r>
      <w:r w:rsidR="00B16C0E">
        <w:rPr>
          <w:rFonts w:ascii="Calibri" w:hAnsi="Calibri"/>
          <w:b/>
        </w:rPr>
        <w:t xml:space="preserve"> children.</w:t>
      </w:r>
      <w:r w:rsidR="001071A5">
        <w:rPr>
          <w:rFonts w:ascii="Calibri" w:hAnsi="Calibri"/>
          <w:b/>
        </w:rPr>
        <w:t xml:space="preserve"> </w:t>
      </w:r>
    </w:p>
    <w:p w14:paraId="7B723749" w14:textId="165F4B62" w:rsidR="00E74BF2" w:rsidRDefault="00694793" w:rsidP="00E74BF2">
      <w:pPr>
        <w:ind w:left="720"/>
        <w:rPr>
          <w:rFonts w:ascii="Calibri" w:hAnsi="Calibri"/>
        </w:rPr>
      </w:pPr>
      <w:r>
        <w:rPr>
          <w:rFonts w:ascii="Calibri" w:hAnsi="Calibri"/>
        </w:rPr>
        <w:t>These measures do not disaggregate</w:t>
      </w:r>
      <w:r w:rsidR="00E74BF2" w:rsidRPr="00EA7358">
        <w:rPr>
          <w:rFonts w:ascii="Calibri" w:hAnsi="Calibri"/>
        </w:rPr>
        <w:t xml:space="preserve"> by gender, and </w:t>
      </w:r>
      <w:r>
        <w:rPr>
          <w:rFonts w:ascii="Calibri" w:hAnsi="Calibri"/>
        </w:rPr>
        <w:t xml:space="preserve">offer </w:t>
      </w:r>
      <w:r w:rsidR="00E74BF2" w:rsidRPr="00EA7358">
        <w:rPr>
          <w:rFonts w:ascii="Calibri" w:hAnsi="Calibri"/>
        </w:rPr>
        <w:t xml:space="preserve">very limited disaggregation by ethnicity. </w:t>
      </w:r>
      <w:r w:rsidR="00E74BF2">
        <w:rPr>
          <w:rFonts w:ascii="Calibri" w:hAnsi="Calibri"/>
        </w:rPr>
        <w:t xml:space="preserve">Disaggregation is mainly by household type, working and retirement-age, children and disabled people from which some inferences can be made – for example </w:t>
      </w:r>
      <w:r w:rsidR="00E75066">
        <w:rPr>
          <w:rFonts w:ascii="Calibri" w:hAnsi="Calibri"/>
        </w:rPr>
        <w:t xml:space="preserve">94% of </w:t>
      </w:r>
      <w:r w:rsidR="00E74BF2">
        <w:rPr>
          <w:rFonts w:ascii="Calibri" w:hAnsi="Calibri"/>
        </w:rPr>
        <w:t xml:space="preserve">lone-parent households are women. </w:t>
      </w:r>
    </w:p>
    <w:p w14:paraId="4A96F206" w14:textId="77777777" w:rsidR="00E67BB6" w:rsidRPr="006D4AB3" w:rsidRDefault="00E67BB6" w:rsidP="00694793">
      <w:pPr>
        <w:ind w:left="720"/>
        <w:rPr>
          <w:rFonts w:ascii="Calibri" w:hAnsi="Calibri"/>
        </w:rPr>
      </w:pPr>
      <w:r w:rsidRPr="006D4AB3">
        <w:rPr>
          <w:rFonts w:ascii="Calibri" w:hAnsi="Calibri"/>
        </w:rPr>
        <w:t xml:space="preserve">Many other </w:t>
      </w:r>
      <w:r w:rsidRPr="006D4AB3">
        <w:rPr>
          <w:rFonts w:ascii="Calibri" w:hAnsi="Calibri"/>
          <w:b/>
        </w:rPr>
        <w:t>unofficial measurements</w:t>
      </w:r>
      <w:r w:rsidRPr="006D4AB3">
        <w:rPr>
          <w:rFonts w:ascii="Calibri" w:hAnsi="Calibri"/>
        </w:rPr>
        <w:t xml:space="preserve"> of poverty exist in the UK, including</w:t>
      </w:r>
      <w:proofErr w:type="gramStart"/>
      <w:r w:rsidRPr="006D4AB3">
        <w:rPr>
          <w:rFonts w:ascii="Calibri" w:hAnsi="Calibri"/>
          <w:b/>
        </w:rPr>
        <w:t>;</w:t>
      </w:r>
      <w:proofErr w:type="gramEnd"/>
    </w:p>
    <w:p w14:paraId="1BCFAFDE" w14:textId="7B082A9C" w:rsidR="00645CDB" w:rsidRPr="006D4AB3" w:rsidRDefault="00645CDB" w:rsidP="00D45326">
      <w:pPr>
        <w:pStyle w:val="ListParagraph"/>
        <w:numPr>
          <w:ilvl w:val="0"/>
          <w:numId w:val="20"/>
        </w:numPr>
        <w:spacing w:after="80"/>
        <w:ind w:left="1077" w:hanging="357"/>
        <w:contextualSpacing w:val="0"/>
        <w:rPr>
          <w:rFonts w:ascii="Calibri" w:hAnsi="Calibri"/>
        </w:rPr>
      </w:pPr>
      <w:r w:rsidRPr="006D4AB3">
        <w:rPr>
          <w:rFonts w:ascii="Calibri" w:hAnsi="Calibri"/>
          <w:b/>
        </w:rPr>
        <w:t>Minimum Income Standard (MIS)</w:t>
      </w:r>
      <w:r w:rsidRPr="006D4AB3">
        <w:rPr>
          <w:rFonts w:ascii="Calibri" w:hAnsi="Calibri"/>
        </w:rPr>
        <w:t xml:space="preserve">; </w:t>
      </w:r>
      <w:r w:rsidR="00621DC1" w:rsidRPr="006D4AB3">
        <w:rPr>
          <w:rFonts w:ascii="Calibri" w:hAnsi="Calibri"/>
        </w:rPr>
        <w:t xml:space="preserve">independently measured by reference to the cost of living according to what the UK public believe is the minimum needed to have a socially acceptable standard of living. </w:t>
      </w:r>
      <w:r w:rsidR="008B7237" w:rsidRPr="008B7237">
        <w:rPr>
          <w:rFonts w:ascii="Calibri" w:hAnsi="Calibri"/>
          <w:b/>
        </w:rPr>
        <w:t>27%</w:t>
      </w:r>
      <w:r w:rsidR="008B7237">
        <w:rPr>
          <w:rFonts w:ascii="Calibri" w:hAnsi="Calibri"/>
          <w:b/>
        </w:rPr>
        <w:t xml:space="preserve"> of people</w:t>
      </w:r>
      <w:r w:rsidR="008B7237" w:rsidRPr="008B7237">
        <w:rPr>
          <w:rFonts w:ascii="Calibri" w:hAnsi="Calibri"/>
          <w:b/>
        </w:rPr>
        <w:t xml:space="preserve"> </w:t>
      </w:r>
      <w:r w:rsidR="003066E4" w:rsidRPr="008B7237">
        <w:rPr>
          <w:rFonts w:ascii="Calibri" w:hAnsi="Calibri"/>
          <w:b/>
        </w:rPr>
        <w:t>fa</w:t>
      </w:r>
      <w:r w:rsidR="00621DC1" w:rsidRPr="008B7237">
        <w:rPr>
          <w:rFonts w:ascii="Calibri" w:hAnsi="Calibri"/>
          <w:b/>
        </w:rPr>
        <w:t>ll below</w:t>
      </w:r>
      <w:r w:rsidR="003066E4" w:rsidRPr="008B7237">
        <w:rPr>
          <w:rFonts w:ascii="Calibri" w:hAnsi="Calibri"/>
          <w:b/>
        </w:rPr>
        <w:t xml:space="preserve"> this</w:t>
      </w:r>
      <w:r w:rsidR="00621DC1" w:rsidRPr="006D4AB3">
        <w:rPr>
          <w:rFonts w:ascii="Calibri" w:hAnsi="Calibri"/>
        </w:rPr>
        <w:t>.</w:t>
      </w:r>
      <w:r w:rsidR="008B7237">
        <w:rPr>
          <w:rStyle w:val="EndnoteReference"/>
          <w:rFonts w:ascii="Calibri" w:hAnsi="Calibri"/>
        </w:rPr>
        <w:endnoteReference w:id="148"/>
      </w:r>
    </w:p>
    <w:p w14:paraId="099A8968" w14:textId="1A6A2215" w:rsidR="00E67BB6" w:rsidRPr="008C1132" w:rsidRDefault="00E67BB6" w:rsidP="00D45326">
      <w:pPr>
        <w:pStyle w:val="ListParagraph"/>
        <w:numPr>
          <w:ilvl w:val="0"/>
          <w:numId w:val="20"/>
        </w:numPr>
        <w:spacing w:after="80"/>
        <w:ind w:left="1077" w:hanging="357"/>
        <w:contextualSpacing w:val="0"/>
        <w:rPr>
          <w:rFonts w:ascii="Calibri" w:hAnsi="Calibri"/>
        </w:rPr>
      </w:pPr>
      <w:r w:rsidRPr="006D4AB3">
        <w:rPr>
          <w:rFonts w:ascii="Calibri" w:hAnsi="Calibri"/>
          <w:b/>
        </w:rPr>
        <w:t>After Housing and Childcare Costs (AHCC)</w:t>
      </w:r>
      <w:r w:rsidRPr="006D4AB3">
        <w:rPr>
          <w:rFonts w:ascii="Calibri" w:hAnsi="Calibri"/>
        </w:rPr>
        <w:t>; t</w:t>
      </w:r>
      <w:r w:rsidR="002E178B" w:rsidRPr="006D4AB3">
        <w:rPr>
          <w:rFonts w:ascii="Calibri" w:hAnsi="Calibri"/>
        </w:rPr>
        <w:t xml:space="preserve">he </w:t>
      </w:r>
      <w:r w:rsidR="00621DC1" w:rsidRPr="006D4AB3">
        <w:rPr>
          <w:rFonts w:ascii="Calibri" w:hAnsi="Calibri"/>
        </w:rPr>
        <w:t xml:space="preserve">existing </w:t>
      </w:r>
      <w:r w:rsidR="002E178B" w:rsidRPr="006D4AB3">
        <w:rPr>
          <w:rFonts w:ascii="Calibri" w:hAnsi="Calibri"/>
        </w:rPr>
        <w:t xml:space="preserve">relative poverty </w:t>
      </w:r>
      <w:r w:rsidR="00621DC1" w:rsidRPr="006D4AB3">
        <w:rPr>
          <w:rFonts w:ascii="Calibri" w:hAnsi="Calibri"/>
        </w:rPr>
        <w:t>measurements do</w:t>
      </w:r>
      <w:r w:rsidR="002E178B" w:rsidRPr="006D4AB3">
        <w:rPr>
          <w:rFonts w:ascii="Calibri" w:hAnsi="Calibri"/>
        </w:rPr>
        <w:t xml:space="preserve"> not </w:t>
      </w:r>
      <w:r w:rsidR="0088079C">
        <w:rPr>
          <w:rFonts w:ascii="Calibri" w:hAnsi="Calibri"/>
        </w:rPr>
        <w:br/>
      </w:r>
      <w:r w:rsidR="002E178B" w:rsidRPr="006D4AB3">
        <w:rPr>
          <w:rFonts w:ascii="Calibri" w:hAnsi="Calibri"/>
        </w:rPr>
        <w:t>include other essential fixed costs su</w:t>
      </w:r>
      <w:r w:rsidR="00621DC1" w:rsidRPr="006D4AB3">
        <w:rPr>
          <w:rFonts w:ascii="Calibri" w:hAnsi="Calibri"/>
        </w:rPr>
        <w:t xml:space="preserve">ch as </w:t>
      </w:r>
      <w:r w:rsidR="002E178B" w:rsidRPr="006D4AB3">
        <w:rPr>
          <w:rFonts w:ascii="Calibri" w:hAnsi="Calibri"/>
        </w:rPr>
        <w:t xml:space="preserve">childcare, which on average </w:t>
      </w:r>
      <w:r w:rsidR="0088079C">
        <w:rPr>
          <w:rFonts w:ascii="Calibri" w:hAnsi="Calibri"/>
        </w:rPr>
        <w:t>is</w:t>
      </w:r>
      <w:r w:rsidR="002E178B" w:rsidRPr="0088079C">
        <w:rPr>
          <w:rFonts w:ascii="Calibri" w:hAnsi="Calibri"/>
        </w:rPr>
        <w:t xml:space="preserve"> 30% of household </w:t>
      </w:r>
      <w:r w:rsidR="003066E4" w:rsidRPr="0088079C">
        <w:rPr>
          <w:rFonts w:ascii="Calibri" w:hAnsi="Calibri"/>
        </w:rPr>
        <w:t>spend</w:t>
      </w:r>
      <w:r w:rsidRPr="006D4AB3">
        <w:rPr>
          <w:rFonts w:ascii="Calibri" w:hAnsi="Calibri"/>
        </w:rPr>
        <w:t xml:space="preserve">. Including childcare as a fixed cost </w:t>
      </w:r>
      <w:r w:rsidR="006C0A91">
        <w:rPr>
          <w:rFonts w:ascii="Calibri" w:hAnsi="Calibri"/>
        </w:rPr>
        <w:t xml:space="preserve">provides a </w:t>
      </w:r>
      <w:r w:rsidR="002E178B" w:rsidRPr="006D4AB3">
        <w:rPr>
          <w:rFonts w:ascii="Calibri" w:hAnsi="Calibri"/>
        </w:rPr>
        <w:t>more accurate reflection of poverty –</w:t>
      </w:r>
      <w:r w:rsidR="0088079C">
        <w:rPr>
          <w:rFonts w:ascii="Calibri" w:hAnsi="Calibri"/>
          <w:b/>
        </w:rPr>
        <w:t xml:space="preserve"> </w:t>
      </w:r>
      <w:r w:rsidR="0088079C" w:rsidRPr="00D45326">
        <w:rPr>
          <w:rFonts w:ascii="Calibri" w:hAnsi="Calibri"/>
          <w:b/>
        </w:rPr>
        <w:t>i</w:t>
      </w:r>
      <w:r w:rsidR="00621DC1" w:rsidRPr="00D45326">
        <w:rPr>
          <w:rFonts w:ascii="Calibri" w:hAnsi="Calibri"/>
          <w:b/>
        </w:rPr>
        <w:t>ncreasing</w:t>
      </w:r>
      <w:r w:rsidR="002E178B" w:rsidRPr="00D45326">
        <w:rPr>
          <w:rFonts w:ascii="Calibri" w:hAnsi="Calibri"/>
          <w:b/>
        </w:rPr>
        <w:t xml:space="preserve"> the total </w:t>
      </w:r>
      <w:r w:rsidR="002E178B" w:rsidRPr="008C1132">
        <w:rPr>
          <w:rFonts w:ascii="Calibri" w:hAnsi="Calibri"/>
          <w:b/>
        </w:rPr>
        <w:t>number of people below poverty line by 81,000</w:t>
      </w:r>
      <w:r w:rsidR="002E178B" w:rsidRPr="008C1132">
        <w:rPr>
          <w:rFonts w:ascii="Calibri" w:hAnsi="Calibri"/>
        </w:rPr>
        <w:t>.</w:t>
      </w:r>
      <w:r w:rsidR="002E178B" w:rsidRPr="008C1132">
        <w:rPr>
          <w:rStyle w:val="EndnoteReference"/>
          <w:rFonts w:ascii="Calibri" w:hAnsi="Calibri"/>
        </w:rPr>
        <w:endnoteReference w:id="149"/>
      </w:r>
    </w:p>
    <w:p w14:paraId="2267BE90" w14:textId="6C03D5F4" w:rsidR="00E67BB6" w:rsidRPr="008C1132" w:rsidRDefault="00E67BB6" w:rsidP="00D45326">
      <w:pPr>
        <w:pStyle w:val="ListParagraph"/>
        <w:numPr>
          <w:ilvl w:val="0"/>
          <w:numId w:val="20"/>
        </w:numPr>
        <w:spacing w:after="80"/>
        <w:ind w:left="1077" w:hanging="357"/>
        <w:contextualSpacing w:val="0"/>
        <w:rPr>
          <w:rFonts w:ascii="Calibri" w:hAnsi="Calibri"/>
        </w:rPr>
      </w:pPr>
      <w:r w:rsidRPr="008C1132">
        <w:rPr>
          <w:rFonts w:ascii="Calibri" w:hAnsi="Calibri"/>
          <w:b/>
        </w:rPr>
        <w:t>Severe</w:t>
      </w:r>
      <w:r w:rsidR="00EA7358" w:rsidRPr="008C1132">
        <w:rPr>
          <w:rFonts w:ascii="Calibri" w:hAnsi="Calibri"/>
        </w:rPr>
        <w:t xml:space="preserve"> </w:t>
      </w:r>
      <w:r w:rsidR="00EA7358" w:rsidRPr="008C1132">
        <w:rPr>
          <w:rFonts w:ascii="Calibri" w:hAnsi="Calibri"/>
          <w:b/>
        </w:rPr>
        <w:t>poverty</w:t>
      </w:r>
      <w:r w:rsidR="00877FE4">
        <w:rPr>
          <w:rFonts w:ascii="Calibri" w:hAnsi="Calibri"/>
        </w:rPr>
        <w:t xml:space="preserve"> is </w:t>
      </w:r>
      <w:r w:rsidR="00EA7358" w:rsidRPr="008C1132">
        <w:rPr>
          <w:rFonts w:ascii="Calibri" w:hAnsi="Calibri"/>
        </w:rPr>
        <w:t>defined as</w:t>
      </w:r>
      <w:r w:rsidR="00D45326" w:rsidRPr="008C1132">
        <w:rPr>
          <w:rFonts w:ascii="Calibri" w:hAnsi="Calibri"/>
        </w:rPr>
        <w:t xml:space="preserve"> below 50% of the median income. </w:t>
      </w:r>
      <w:r w:rsidR="00D45326" w:rsidRPr="007F60E4">
        <w:rPr>
          <w:rFonts w:ascii="Calibri" w:hAnsi="Calibri"/>
          <w:color w:val="3366FF"/>
        </w:rPr>
        <w:t xml:space="preserve">Analysis by the Scottish Government has indicated that </w:t>
      </w:r>
      <w:r w:rsidR="008C1132" w:rsidRPr="007F60E4">
        <w:rPr>
          <w:rFonts w:ascii="Calibri" w:hAnsi="Calibri"/>
          <w:color w:val="3366FF"/>
        </w:rPr>
        <w:t>14</w:t>
      </w:r>
      <w:r w:rsidR="00D45326" w:rsidRPr="007F60E4">
        <w:rPr>
          <w:rFonts w:ascii="Calibri" w:hAnsi="Calibri"/>
          <w:color w:val="3366FF"/>
        </w:rPr>
        <w:t>% of people</w:t>
      </w:r>
      <w:r w:rsidR="008C1132" w:rsidRPr="007F60E4">
        <w:rPr>
          <w:rFonts w:ascii="Calibri" w:hAnsi="Calibri"/>
          <w:color w:val="3366FF"/>
        </w:rPr>
        <w:t xml:space="preserve"> (710,000)</w:t>
      </w:r>
      <w:r w:rsidR="00D45326" w:rsidRPr="007F60E4">
        <w:rPr>
          <w:rFonts w:ascii="Calibri" w:hAnsi="Calibri"/>
          <w:color w:val="3366FF"/>
        </w:rPr>
        <w:t xml:space="preserve"> in Scotland live in severe poverty</w:t>
      </w:r>
      <w:r w:rsidR="008C1132" w:rsidRPr="007F60E4">
        <w:rPr>
          <w:rFonts w:ascii="Calibri" w:hAnsi="Calibri"/>
          <w:color w:val="3366FF"/>
        </w:rPr>
        <w:t xml:space="preserve"> after housing costs.</w:t>
      </w:r>
      <w:r w:rsidR="008C1132" w:rsidRPr="008C1132">
        <w:rPr>
          <w:rStyle w:val="EndnoteReference"/>
          <w:rFonts w:ascii="Calibri" w:hAnsi="Calibri"/>
        </w:rPr>
        <w:endnoteReference w:id="150"/>
      </w:r>
    </w:p>
    <w:p w14:paraId="01066A6A" w14:textId="652B04B7" w:rsidR="00E67BB6" w:rsidRPr="008C1132" w:rsidRDefault="00E67BB6" w:rsidP="00D45326">
      <w:pPr>
        <w:pStyle w:val="ListParagraph"/>
        <w:numPr>
          <w:ilvl w:val="0"/>
          <w:numId w:val="20"/>
        </w:numPr>
        <w:spacing w:after="80"/>
        <w:ind w:left="1077" w:hanging="357"/>
        <w:contextualSpacing w:val="0"/>
        <w:rPr>
          <w:rFonts w:ascii="Calibri" w:hAnsi="Calibri"/>
          <w:b/>
        </w:rPr>
      </w:pPr>
      <w:r w:rsidRPr="008C1132">
        <w:rPr>
          <w:rFonts w:ascii="Calibri" w:hAnsi="Calibri"/>
          <w:b/>
        </w:rPr>
        <w:t>Extreme</w:t>
      </w:r>
      <w:r w:rsidR="00D45326" w:rsidRPr="008C1132">
        <w:rPr>
          <w:rFonts w:ascii="Calibri" w:hAnsi="Calibri"/>
          <w:b/>
        </w:rPr>
        <w:t xml:space="preserve"> poverty</w:t>
      </w:r>
      <w:r w:rsidR="00877FE4">
        <w:rPr>
          <w:rFonts w:ascii="Calibri" w:hAnsi="Calibri"/>
        </w:rPr>
        <w:t xml:space="preserve"> is</w:t>
      </w:r>
      <w:r w:rsidR="00D45326" w:rsidRPr="008C1132">
        <w:rPr>
          <w:rFonts w:ascii="Calibri" w:hAnsi="Calibri"/>
        </w:rPr>
        <w:t xml:space="preserve"> de</w:t>
      </w:r>
      <w:r w:rsidR="00BF2E13" w:rsidRPr="008C1132">
        <w:rPr>
          <w:rFonts w:ascii="Calibri" w:hAnsi="Calibri"/>
        </w:rPr>
        <w:t>fined as below 40</w:t>
      </w:r>
      <w:r w:rsidR="00D45326" w:rsidRPr="008C1132">
        <w:rPr>
          <w:rFonts w:ascii="Calibri" w:hAnsi="Calibri"/>
        </w:rPr>
        <w:t xml:space="preserve">% of the median income. </w:t>
      </w:r>
      <w:r w:rsidR="008C1132" w:rsidRPr="007F60E4">
        <w:rPr>
          <w:rFonts w:ascii="Calibri" w:hAnsi="Calibri"/>
          <w:color w:val="3366FF"/>
        </w:rPr>
        <w:t>Analysis by the Scottish Government has indicated that 10% of people (500,000) in Scotland live in extreme poverty after housing costs.</w:t>
      </w:r>
      <w:r w:rsidR="008C1132" w:rsidRPr="008C1132">
        <w:rPr>
          <w:rStyle w:val="EndnoteReference"/>
          <w:rFonts w:ascii="Calibri" w:hAnsi="Calibri"/>
        </w:rPr>
        <w:endnoteReference w:id="151"/>
      </w:r>
    </w:p>
    <w:p w14:paraId="6C002FC8" w14:textId="4A67E750" w:rsidR="00E74BF2" w:rsidRDefault="00E67BB6" w:rsidP="00E74BF2">
      <w:pPr>
        <w:pStyle w:val="ListParagraph"/>
        <w:numPr>
          <w:ilvl w:val="0"/>
          <w:numId w:val="20"/>
        </w:numPr>
        <w:ind w:left="1077" w:hanging="357"/>
        <w:contextualSpacing w:val="0"/>
        <w:rPr>
          <w:rFonts w:ascii="Calibri" w:hAnsi="Calibri"/>
        </w:rPr>
      </w:pPr>
      <w:r w:rsidRPr="008C1132">
        <w:rPr>
          <w:rFonts w:ascii="Calibri" w:hAnsi="Calibri"/>
          <w:b/>
        </w:rPr>
        <w:t>Destitution;</w:t>
      </w:r>
      <w:r w:rsidRPr="008C1132">
        <w:rPr>
          <w:rFonts w:ascii="Calibri" w:hAnsi="Calibri"/>
        </w:rPr>
        <w:t xml:space="preserve"> there are</w:t>
      </w:r>
      <w:r w:rsidRPr="008C1132">
        <w:rPr>
          <w:rFonts w:ascii="Calibri" w:hAnsi="Calibri"/>
          <w:b/>
        </w:rPr>
        <w:t xml:space="preserve"> 1,250,000 people living in destitution in the UK, including 312,000 children</w:t>
      </w:r>
      <w:r w:rsidRPr="008C1132">
        <w:rPr>
          <w:rFonts w:ascii="Calibri" w:hAnsi="Calibri"/>
        </w:rPr>
        <w:t>.</w:t>
      </w:r>
      <w:r w:rsidRPr="008C1132">
        <w:rPr>
          <w:rStyle w:val="EndnoteReference"/>
          <w:rFonts w:ascii="Calibri" w:hAnsi="Calibri"/>
        </w:rPr>
        <w:endnoteReference w:id="152"/>
      </w:r>
      <w:r w:rsidRPr="008C1132">
        <w:rPr>
          <w:rFonts w:ascii="Calibri" w:hAnsi="Calibri"/>
        </w:rPr>
        <w:t xml:space="preserve"> Destitution is a subset at the sharpest end of poverty measured as </w:t>
      </w:r>
      <w:r w:rsidRPr="008C1132">
        <w:rPr>
          <w:rFonts w:ascii="Calibri" w:hAnsi="Calibri"/>
          <w:b/>
        </w:rPr>
        <w:t>the inability to afford a</w:t>
      </w:r>
      <w:r w:rsidRPr="006D4AB3">
        <w:rPr>
          <w:rFonts w:ascii="Calibri" w:hAnsi="Calibri"/>
          <w:b/>
        </w:rPr>
        <w:t xml:space="preserve"> combination of essentials</w:t>
      </w:r>
      <w:r w:rsidRPr="006D4AB3">
        <w:rPr>
          <w:rFonts w:ascii="Calibri" w:hAnsi="Calibri"/>
        </w:rPr>
        <w:t xml:space="preserve"> such as shelter, food, heating, or basic toiletries. For up to 75% of people experiencing destitution in the UK it is not a one-off episode, but extends over considerable time with chronic rotation between destitution and poverty tied to specific shocks.</w:t>
      </w:r>
      <w:r w:rsidRPr="006D4AB3">
        <w:rPr>
          <w:rStyle w:val="EndnoteReference"/>
          <w:rFonts w:ascii="Calibri" w:hAnsi="Calibri"/>
        </w:rPr>
        <w:endnoteReference w:id="153"/>
      </w:r>
    </w:p>
    <w:p w14:paraId="53FDC4B6" w14:textId="3364AE47" w:rsidR="00D9352B" w:rsidRPr="00E74BF2" w:rsidRDefault="00D9352B" w:rsidP="00E74BF2">
      <w:pPr>
        <w:ind w:left="720"/>
        <w:rPr>
          <w:rFonts w:ascii="Calibri" w:hAnsi="Calibri"/>
        </w:rPr>
      </w:pPr>
      <w:r w:rsidRPr="00E74BF2">
        <w:rPr>
          <w:rFonts w:ascii="Calibri" w:hAnsi="Calibri"/>
        </w:rPr>
        <w:t xml:space="preserve">Poverty is also measured within national wellbeing monitoring frameworks. </w:t>
      </w:r>
      <w:r w:rsidRPr="007F60E4">
        <w:rPr>
          <w:rFonts w:ascii="Calibri" w:hAnsi="Calibri"/>
          <w:color w:val="3366FF"/>
        </w:rPr>
        <w:t xml:space="preserve">In Scotland the National Performance Framework aligns all public-sector action with outcomes, and measures performance with indicators and targets. This is an accessible measuring framework and guides strategic action </w:t>
      </w:r>
      <w:r w:rsidR="00E74BF2" w:rsidRPr="007F60E4">
        <w:rPr>
          <w:rFonts w:ascii="Calibri" w:hAnsi="Calibri"/>
          <w:color w:val="3366FF"/>
        </w:rPr>
        <w:t>but</w:t>
      </w:r>
      <w:r w:rsidRPr="007F60E4">
        <w:rPr>
          <w:rFonts w:ascii="Calibri" w:hAnsi="Calibri"/>
          <w:color w:val="3366FF"/>
        </w:rPr>
        <w:t xml:space="preserve"> omits specific indicators on household food insecurity – t</w:t>
      </w:r>
      <w:r w:rsidR="00E74BF2" w:rsidRPr="007F60E4">
        <w:rPr>
          <w:rFonts w:ascii="Calibri" w:hAnsi="Calibri"/>
          <w:color w:val="3366FF"/>
        </w:rPr>
        <w:t>hough t</w:t>
      </w:r>
      <w:r w:rsidRPr="007F60E4">
        <w:rPr>
          <w:rFonts w:ascii="Calibri" w:hAnsi="Calibri"/>
          <w:color w:val="3366FF"/>
        </w:rPr>
        <w:t>his is anticipated to change following the realignment of the Framework with the</w:t>
      </w:r>
      <w:r w:rsidR="008C1132" w:rsidRPr="007F60E4">
        <w:rPr>
          <w:rFonts w:ascii="Calibri" w:hAnsi="Calibri"/>
          <w:color w:val="3366FF"/>
        </w:rPr>
        <w:t xml:space="preserve"> Sustainable Development Goals.</w:t>
      </w:r>
      <w:r w:rsidR="008C1132" w:rsidRPr="007F60E4">
        <w:rPr>
          <w:rStyle w:val="EndnoteReference"/>
          <w:rFonts w:ascii="Calibri" w:hAnsi="Calibri"/>
          <w:color w:val="3366FF"/>
        </w:rPr>
        <w:endnoteReference w:id="154"/>
      </w:r>
      <w:r w:rsidR="00E74BF2" w:rsidRPr="007F60E4">
        <w:rPr>
          <w:rFonts w:ascii="Calibri" w:hAnsi="Calibri"/>
          <w:color w:val="3366FF"/>
        </w:rPr>
        <w:t xml:space="preserve">  In the last year in Scotland there has been a reduction in the number of people living in relative poverty and a reduction in the gender pay gap, but there have been increases in the number of children with unhealthy weight and the number of children in combined material deprivation and low-income households.</w:t>
      </w:r>
      <w:r w:rsidR="00EF7C34" w:rsidRPr="007F60E4">
        <w:rPr>
          <w:rStyle w:val="EndnoteReference"/>
          <w:rFonts w:ascii="Calibri" w:hAnsi="Calibri"/>
          <w:color w:val="3366FF"/>
        </w:rPr>
        <w:endnoteReference w:id="155"/>
      </w:r>
    </w:p>
    <w:p w14:paraId="4970499E" w14:textId="6D30C330" w:rsidR="00B77FDA" w:rsidRPr="0031505B" w:rsidRDefault="00D9352B" w:rsidP="0031505B">
      <w:pPr>
        <w:ind w:left="720"/>
        <w:rPr>
          <w:rFonts w:ascii="Calibri" w:hAnsi="Calibri"/>
          <w:highlight w:val="yellow"/>
        </w:rPr>
      </w:pPr>
      <w:r w:rsidRPr="006D4AB3">
        <w:rPr>
          <w:rFonts w:ascii="Calibri" w:hAnsi="Calibri"/>
        </w:rPr>
        <w:lastRenderedPageBreak/>
        <w:t>The UK model is weaker with the focus being on the measurement of outcomes rather than alignment for improvement;</w:t>
      </w:r>
      <w:r w:rsidR="00E74BF2">
        <w:rPr>
          <w:rFonts w:ascii="Calibri" w:hAnsi="Calibri"/>
        </w:rPr>
        <w:t xml:space="preserve"> </w:t>
      </w:r>
      <w:r w:rsidR="00E74BF2" w:rsidRPr="0084687A">
        <w:rPr>
          <w:rFonts w:ascii="Calibri" w:hAnsi="Calibri"/>
        </w:rPr>
        <w:t xml:space="preserve">there has been improvement in </w:t>
      </w:r>
      <w:r w:rsidR="00CC5ED5" w:rsidRPr="0084687A">
        <w:rPr>
          <w:rFonts w:ascii="Calibri" w:hAnsi="Calibri"/>
        </w:rPr>
        <w:t>40%</w:t>
      </w:r>
      <w:r w:rsidR="00CC5ED5">
        <w:rPr>
          <w:rFonts w:ascii="Calibri" w:hAnsi="Calibri"/>
        </w:rPr>
        <w:t xml:space="preserve"> of measures including median income</w:t>
      </w:r>
      <w:r w:rsidRPr="006D4AB3">
        <w:rPr>
          <w:rFonts w:ascii="Calibri" w:hAnsi="Calibri"/>
        </w:rPr>
        <w:t xml:space="preserve"> </w:t>
      </w:r>
      <w:r w:rsidR="0084687A">
        <w:rPr>
          <w:rFonts w:ascii="Calibri" w:hAnsi="Calibri"/>
        </w:rPr>
        <w:t>but</w:t>
      </w:r>
      <w:r w:rsidR="00E74BF2">
        <w:rPr>
          <w:rFonts w:ascii="Calibri" w:hAnsi="Calibri"/>
        </w:rPr>
        <w:t xml:space="preserve"> </w:t>
      </w:r>
      <w:r w:rsidRPr="006D4AB3">
        <w:rPr>
          <w:rFonts w:ascii="Calibri" w:hAnsi="Calibri"/>
        </w:rPr>
        <w:t xml:space="preserve">regression across 19% of measures, </w:t>
      </w:r>
      <w:r w:rsidR="00E74BF2">
        <w:rPr>
          <w:rFonts w:ascii="Calibri" w:hAnsi="Calibri"/>
        </w:rPr>
        <w:t>including</w:t>
      </w:r>
      <w:r w:rsidR="0084687A">
        <w:rPr>
          <w:rFonts w:ascii="Calibri" w:hAnsi="Calibri"/>
        </w:rPr>
        <w:t xml:space="preserve"> on the adequacy of</w:t>
      </w:r>
      <w:r w:rsidRPr="006D4AB3">
        <w:rPr>
          <w:rFonts w:ascii="Calibri" w:hAnsi="Calibri"/>
        </w:rPr>
        <w:t xml:space="preserve"> income, accommodation and </w:t>
      </w:r>
      <w:r w:rsidR="00E74BF2">
        <w:rPr>
          <w:rFonts w:ascii="Calibri" w:hAnsi="Calibri"/>
        </w:rPr>
        <w:t xml:space="preserve">mental </w:t>
      </w:r>
      <w:r w:rsidRPr="006D4AB3">
        <w:rPr>
          <w:rFonts w:ascii="Calibri" w:hAnsi="Calibri"/>
        </w:rPr>
        <w:t>health.</w:t>
      </w:r>
      <w:r w:rsidRPr="006D4AB3">
        <w:rPr>
          <w:rStyle w:val="EndnoteReference"/>
          <w:rFonts w:ascii="Calibri" w:hAnsi="Calibri"/>
        </w:rPr>
        <w:endnoteReference w:id="156"/>
      </w:r>
      <w:r w:rsidRPr="006D4AB3">
        <w:rPr>
          <w:rFonts w:ascii="Calibri" w:hAnsi="Calibri"/>
        </w:rPr>
        <w:t xml:space="preserve"> </w:t>
      </w:r>
      <w:r w:rsidR="0031505B">
        <w:rPr>
          <w:rFonts w:ascii="Calibri" w:hAnsi="Calibri"/>
          <w:highlight w:val="yellow"/>
        </w:rPr>
        <w:br/>
      </w:r>
    </w:p>
    <w:p w14:paraId="271313EE" w14:textId="7BBB1D8B" w:rsidR="00E6702F" w:rsidRDefault="00506EFF" w:rsidP="002A6D1A">
      <w:pPr>
        <w:ind w:left="720" w:hanging="720"/>
        <w:rPr>
          <w:rFonts w:ascii="Calibri" w:hAnsi="Calibri"/>
        </w:rPr>
      </w:pPr>
      <w:r w:rsidRPr="00162D07">
        <w:rPr>
          <w:rFonts w:ascii="Calibri" w:hAnsi="Calibri"/>
          <w:b/>
        </w:rPr>
        <w:t>22:</w:t>
      </w:r>
      <w:r w:rsidRPr="006D4AB3">
        <w:rPr>
          <w:rFonts w:ascii="Calibri" w:hAnsi="Calibri"/>
        </w:rPr>
        <w:t xml:space="preserve"> </w:t>
      </w:r>
      <w:r w:rsidRPr="006D4AB3">
        <w:rPr>
          <w:rFonts w:ascii="Calibri" w:hAnsi="Calibri"/>
        </w:rPr>
        <w:tab/>
      </w:r>
      <w:r w:rsidR="005C7FE1" w:rsidRPr="006D4AB3">
        <w:rPr>
          <w:rFonts w:ascii="Calibri" w:hAnsi="Calibri"/>
        </w:rPr>
        <w:t xml:space="preserve">The UK Government’s </w:t>
      </w:r>
      <w:r w:rsidR="00AC7B6F" w:rsidRPr="006D4AB3">
        <w:rPr>
          <w:rFonts w:ascii="Calibri" w:hAnsi="Calibri"/>
        </w:rPr>
        <w:t>response to</w:t>
      </w:r>
      <w:r w:rsidR="00A637BC">
        <w:rPr>
          <w:rFonts w:ascii="Calibri" w:hAnsi="Calibri"/>
        </w:rPr>
        <w:t xml:space="preserve"> the</w:t>
      </w:r>
      <w:r w:rsidR="00AC7B6F" w:rsidRPr="006D4AB3">
        <w:rPr>
          <w:rFonts w:ascii="Calibri" w:hAnsi="Calibri"/>
        </w:rPr>
        <w:t xml:space="preserve"> List of Issues claim</w:t>
      </w:r>
      <w:r w:rsidR="000F77AB">
        <w:rPr>
          <w:rFonts w:ascii="Calibri" w:hAnsi="Calibri"/>
        </w:rPr>
        <w:t xml:space="preserve"> </w:t>
      </w:r>
      <w:r w:rsidR="00AC7B6F" w:rsidRPr="006D4AB3">
        <w:rPr>
          <w:rFonts w:ascii="Calibri" w:hAnsi="Calibri"/>
        </w:rPr>
        <w:t xml:space="preserve">that they are ‘committed to an all-out assault on poverty’. Their actions have </w:t>
      </w:r>
      <w:r w:rsidR="000F77AB">
        <w:rPr>
          <w:rFonts w:ascii="Calibri" w:hAnsi="Calibri"/>
        </w:rPr>
        <w:t xml:space="preserve">had the opposite effect; </w:t>
      </w:r>
      <w:r w:rsidR="00AC7B6F" w:rsidRPr="006D4AB3">
        <w:rPr>
          <w:rFonts w:ascii="Calibri" w:hAnsi="Calibri"/>
        </w:rPr>
        <w:t xml:space="preserve">the reform of social security </w:t>
      </w:r>
      <w:r w:rsidR="00AC7B6F" w:rsidRPr="006D4AB3">
        <w:rPr>
          <w:rFonts w:ascii="Calibri" w:hAnsi="Calibri"/>
          <w:b/>
        </w:rPr>
        <w:t xml:space="preserve">has been an all-out assault on the right to an adequate </w:t>
      </w:r>
      <w:r w:rsidR="00AC7B6F" w:rsidRPr="009A7405">
        <w:rPr>
          <w:rFonts w:ascii="Calibri" w:hAnsi="Calibri"/>
          <w:b/>
        </w:rPr>
        <w:t xml:space="preserve">standard of living, </w:t>
      </w:r>
      <w:r w:rsidR="00A637BC">
        <w:rPr>
          <w:rFonts w:ascii="Calibri" w:hAnsi="Calibri"/>
          <w:b/>
        </w:rPr>
        <w:t>impacting</w:t>
      </w:r>
      <w:r w:rsidR="00AC7B6F" w:rsidRPr="009A7405">
        <w:rPr>
          <w:rFonts w:ascii="Calibri" w:hAnsi="Calibri"/>
          <w:b/>
        </w:rPr>
        <w:t xml:space="preserve"> most intensely the right to food.</w:t>
      </w:r>
      <w:r w:rsidR="00AC7B6F" w:rsidRPr="006D4AB3">
        <w:rPr>
          <w:rFonts w:ascii="Calibri" w:hAnsi="Calibri"/>
        </w:rPr>
        <w:t xml:space="preserve"> </w:t>
      </w:r>
      <w:r w:rsidR="006C1A70">
        <w:rPr>
          <w:rFonts w:ascii="Calibri" w:hAnsi="Calibri"/>
        </w:rPr>
        <w:br/>
        <w:t xml:space="preserve">As highlighted in detail in Section 2 of this report social security reform has exposed the most vulnerable people in the UK to even greater financial hardship, with food, as a non-fixed expenditure, often the first to be cut in household budgeting. </w:t>
      </w:r>
      <w:r w:rsidR="000F77AB">
        <w:rPr>
          <w:rFonts w:ascii="Calibri" w:hAnsi="Calibri"/>
        </w:rPr>
        <w:t>The</w:t>
      </w:r>
      <w:r w:rsidR="00AC7B6F" w:rsidRPr="006D4AB3">
        <w:rPr>
          <w:rFonts w:ascii="Calibri" w:hAnsi="Calibri"/>
        </w:rPr>
        <w:t xml:space="preserve"> failure to ensure the minimum wage meets the basic cost of living is a damning </w:t>
      </w:r>
      <w:r w:rsidR="000F77AB">
        <w:rPr>
          <w:rFonts w:ascii="Calibri" w:hAnsi="Calibri"/>
        </w:rPr>
        <w:t>reflection of the Government’s ambition</w:t>
      </w:r>
      <w:r w:rsidR="00E6702F">
        <w:rPr>
          <w:rFonts w:ascii="Calibri" w:hAnsi="Calibri"/>
        </w:rPr>
        <w:t xml:space="preserve"> – the rhetoric around work being an effective route out of poverty is simply not true for chronically low</w:t>
      </w:r>
      <w:r w:rsidR="002A6D1A">
        <w:rPr>
          <w:rFonts w:ascii="Calibri" w:hAnsi="Calibri"/>
        </w:rPr>
        <w:t>-paid and underemployed workers.</w:t>
      </w:r>
      <w:r w:rsidR="00E6702F">
        <w:rPr>
          <w:rFonts w:ascii="Calibri" w:hAnsi="Calibri"/>
        </w:rPr>
        <w:t xml:space="preserve"> </w:t>
      </w:r>
    </w:p>
    <w:p w14:paraId="6B368326" w14:textId="1A85AA8B" w:rsidR="0031505B" w:rsidRPr="00584ACA" w:rsidRDefault="0031505B" w:rsidP="000F77AB">
      <w:pPr>
        <w:ind w:left="720"/>
        <w:rPr>
          <w:rFonts w:ascii="Calibri" w:hAnsi="Calibri"/>
        </w:rPr>
      </w:pPr>
      <w:r w:rsidRPr="00584ACA">
        <w:rPr>
          <w:rFonts w:ascii="Calibri" w:hAnsi="Calibri"/>
        </w:rPr>
        <w:t>There is no state leve</w:t>
      </w:r>
      <w:r w:rsidR="00584ACA">
        <w:rPr>
          <w:rFonts w:ascii="Calibri" w:hAnsi="Calibri"/>
        </w:rPr>
        <w:t xml:space="preserve">l monitoring of food insecurity; </w:t>
      </w:r>
      <w:r w:rsidR="00584ACA" w:rsidRPr="00584ACA">
        <w:rPr>
          <w:rFonts w:ascii="Calibri" w:hAnsi="Calibri"/>
          <w:b/>
        </w:rPr>
        <w:t>th</w:t>
      </w:r>
      <w:r w:rsidRPr="00584ACA">
        <w:rPr>
          <w:rFonts w:ascii="Calibri" w:hAnsi="Calibri"/>
          <w:b/>
        </w:rPr>
        <w:t xml:space="preserve">e </w:t>
      </w:r>
      <w:r w:rsidR="00584ACA" w:rsidRPr="00584ACA">
        <w:rPr>
          <w:rFonts w:ascii="Calibri" w:hAnsi="Calibri"/>
          <w:b/>
        </w:rPr>
        <w:t>Food and Agriculture Organization’s</w:t>
      </w:r>
      <w:r w:rsidRPr="00584ACA">
        <w:rPr>
          <w:rFonts w:ascii="Calibri" w:hAnsi="Calibri"/>
          <w:b/>
        </w:rPr>
        <w:t xml:space="preserve"> world review suggest</w:t>
      </w:r>
      <w:r w:rsidR="00584ACA" w:rsidRPr="00584ACA">
        <w:rPr>
          <w:rFonts w:ascii="Calibri" w:hAnsi="Calibri"/>
          <w:b/>
        </w:rPr>
        <w:t>s</w:t>
      </w:r>
      <w:r w:rsidRPr="00584ACA">
        <w:rPr>
          <w:rFonts w:ascii="Calibri" w:hAnsi="Calibri"/>
          <w:b/>
        </w:rPr>
        <w:t xml:space="preserve"> 10% of people in the UK are food insecure</w:t>
      </w:r>
      <w:r w:rsidR="0084598A" w:rsidRPr="00584ACA">
        <w:rPr>
          <w:rFonts w:ascii="Calibri" w:hAnsi="Calibri"/>
          <w:b/>
        </w:rPr>
        <w:t xml:space="preserve"> – ranking in the bottom half in Europe</w:t>
      </w:r>
      <w:r w:rsidR="0084598A" w:rsidRPr="00584ACA">
        <w:rPr>
          <w:rFonts w:ascii="Calibri" w:hAnsi="Calibri"/>
        </w:rPr>
        <w:t>.</w:t>
      </w:r>
      <w:r w:rsidR="0084598A" w:rsidRPr="00584ACA">
        <w:rPr>
          <w:rStyle w:val="EndnoteReference"/>
          <w:rFonts w:ascii="Calibri" w:hAnsi="Calibri"/>
        </w:rPr>
        <w:endnoteReference w:id="157"/>
      </w:r>
      <w:r w:rsidR="0084598A" w:rsidRPr="00584ACA">
        <w:rPr>
          <w:rFonts w:ascii="Calibri" w:hAnsi="Calibri"/>
        </w:rPr>
        <w:t xml:space="preserve"> E</w:t>
      </w:r>
      <w:r w:rsidRPr="00584ACA">
        <w:rPr>
          <w:rFonts w:ascii="Calibri" w:hAnsi="Calibri"/>
        </w:rPr>
        <w:t>xtrapolations based on people living below the relative poverty line suggest estimates closer to 20%.</w:t>
      </w:r>
      <w:r w:rsidR="00D4681A" w:rsidRPr="00584ACA">
        <w:rPr>
          <w:rFonts w:ascii="Calibri" w:hAnsi="Calibri"/>
        </w:rPr>
        <w:t xml:space="preserve"> </w:t>
      </w:r>
    </w:p>
    <w:p w14:paraId="1A241644" w14:textId="2552377A" w:rsidR="00E6702F" w:rsidRDefault="00E6702F" w:rsidP="000F77AB">
      <w:pPr>
        <w:ind w:left="720"/>
        <w:rPr>
          <w:rFonts w:ascii="Calibri" w:hAnsi="Calibri"/>
        </w:rPr>
      </w:pPr>
      <w:r w:rsidRPr="002A6D1A">
        <w:rPr>
          <w:rFonts w:ascii="Calibri" w:hAnsi="Calibri"/>
          <w:b/>
        </w:rPr>
        <w:t xml:space="preserve">The UK has taken no meaningful </w:t>
      </w:r>
      <w:r w:rsidR="002A6D1A">
        <w:rPr>
          <w:rFonts w:ascii="Calibri" w:hAnsi="Calibri"/>
          <w:b/>
        </w:rPr>
        <w:t>action</w:t>
      </w:r>
      <w:r w:rsidRPr="002A6D1A">
        <w:rPr>
          <w:rFonts w:ascii="Calibri" w:hAnsi="Calibri"/>
          <w:b/>
        </w:rPr>
        <w:t xml:space="preserve"> to reduce the need for food banks.</w:t>
      </w:r>
      <w:r w:rsidRPr="002A6D1A">
        <w:rPr>
          <w:rFonts w:ascii="Calibri" w:hAnsi="Calibri"/>
        </w:rPr>
        <w:t xml:space="preserve"> </w:t>
      </w:r>
      <w:r w:rsidR="002A6D1A">
        <w:rPr>
          <w:rFonts w:ascii="Calibri" w:hAnsi="Calibri"/>
        </w:rPr>
        <w:t>An</w:t>
      </w:r>
      <w:r>
        <w:rPr>
          <w:rFonts w:ascii="Calibri" w:hAnsi="Calibri"/>
        </w:rPr>
        <w:t xml:space="preserve"> </w:t>
      </w:r>
      <w:r w:rsidR="00EF7EEF">
        <w:rPr>
          <w:rFonts w:ascii="Calibri" w:hAnsi="Calibri"/>
        </w:rPr>
        <w:t>All-Party Pa</w:t>
      </w:r>
      <w:r w:rsidR="00063EB6">
        <w:rPr>
          <w:rFonts w:ascii="Calibri" w:hAnsi="Calibri"/>
        </w:rPr>
        <w:t>rliamentary Inquiry into Hunger</w:t>
      </w:r>
      <w:r w:rsidR="00972058">
        <w:rPr>
          <w:rFonts w:ascii="Calibri" w:hAnsi="Calibri"/>
        </w:rPr>
        <w:t xml:space="preserve"> made welcomed recommendations to protect </w:t>
      </w:r>
      <w:r w:rsidR="00063EB6">
        <w:rPr>
          <w:rFonts w:ascii="Calibri" w:hAnsi="Calibri"/>
        </w:rPr>
        <w:t>incomes and reduce expenditure though little action has followed from the Government.</w:t>
      </w:r>
      <w:r w:rsidR="00063EB6">
        <w:rPr>
          <w:rStyle w:val="EndnoteReference"/>
          <w:rFonts w:ascii="Calibri" w:hAnsi="Calibri"/>
        </w:rPr>
        <w:endnoteReference w:id="158"/>
      </w:r>
      <w:r w:rsidR="00063EB6">
        <w:rPr>
          <w:rFonts w:ascii="Calibri" w:hAnsi="Calibri"/>
        </w:rPr>
        <w:t xml:space="preserve">  The Inquiry also r</w:t>
      </w:r>
      <w:r w:rsidR="00972058">
        <w:rPr>
          <w:rFonts w:ascii="Calibri" w:hAnsi="Calibri"/>
        </w:rPr>
        <w:t xml:space="preserve">ecommended continued redistribution of surplus food and </w:t>
      </w:r>
      <w:r>
        <w:rPr>
          <w:rFonts w:ascii="Calibri" w:hAnsi="Calibri"/>
        </w:rPr>
        <w:t xml:space="preserve">greater connectivity </w:t>
      </w:r>
      <w:r w:rsidR="00972058">
        <w:rPr>
          <w:rFonts w:ascii="Calibri" w:hAnsi="Calibri"/>
        </w:rPr>
        <w:t xml:space="preserve">between emergency food providers through a national network. </w:t>
      </w:r>
      <w:r>
        <w:rPr>
          <w:rFonts w:ascii="Calibri" w:hAnsi="Calibri"/>
        </w:rPr>
        <w:t>Whilst th</w:t>
      </w:r>
      <w:r w:rsidR="00063EB6">
        <w:rPr>
          <w:rFonts w:ascii="Calibri" w:hAnsi="Calibri"/>
        </w:rPr>
        <w:t xml:space="preserve">e kindness and support </w:t>
      </w:r>
      <w:r w:rsidR="002A6D1A">
        <w:rPr>
          <w:rFonts w:ascii="Calibri" w:hAnsi="Calibri"/>
        </w:rPr>
        <w:t xml:space="preserve">offered by </w:t>
      </w:r>
      <w:r>
        <w:rPr>
          <w:rFonts w:ascii="Calibri" w:hAnsi="Calibri"/>
        </w:rPr>
        <w:t>food bank volunteers</w:t>
      </w:r>
      <w:r w:rsidR="002A6D1A">
        <w:rPr>
          <w:rFonts w:ascii="Calibri" w:hAnsi="Calibri"/>
        </w:rPr>
        <w:t xml:space="preserve"> </w:t>
      </w:r>
      <w:r>
        <w:rPr>
          <w:rFonts w:ascii="Calibri" w:hAnsi="Calibri"/>
        </w:rPr>
        <w:t xml:space="preserve">is commendable the entrenchment of food banks as a legitimate arm of social security is deeply concerning. </w:t>
      </w:r>
      <w:r w:rsidRPr="00775D06">
        <w:rPr>
          <w:rFonts w:ascii="Calibri" w:hAnsi="Calibri"/>
          <w:b/>
        </w:rPr>
        <w:t xml:space="preserve">Food banks do not satisfy the </w:t>
      </w:r>
      <w:r w:rsidR="006C1A70" w:rsidRPr="00775D06">
        <w:rPr>
          <w:rFonts w:ascii="Calibri" w:hAnsi="Calibri"/>
          <w:b/>
        </w:rPr>
        <w:t xml:space="preserve">Government’s obligation to progressively realise the right to food to the maximum of available resources; </w:t>
      </w:r>
      <w:r w:rsidR="00972058" w:rsidRPr="00775D06">
        <w:rPr>
          <w:rFonts w:ascii="Calibri" w:hAnsi="Calibri"/>
          <w:b/>
        </w:rPr>
        <w:t>feeding vulnerable people waste food fundamentally denies choice and dignity</w:t>
      </w:r>
      <w:r w:rsidR="00972058">
        <w:rPr>
          <w:rFonts w:ascii="Calibri" w:hAnsi="Calibri"/>
        </w:rPr>
        <w:t>.</w:t>
      </w:r>
      <w:r w:rsidR="00063EB6">
        <w:rPr>
          <w:rFonts w:ascii="Calibri" w:hAnsi="Calibri"/>
        </w:rPr>
        <w:t xml:space="preserve"> </w:t>
      </w:r>
    </w:p>
    <w:p w14:paraId="315E08B5" w14:textId="2381940E" w:rsidR="00777120" w:rsidRPr="00F456C7" w:rsidRDefault="00777120" w:rsidP="002C063F">
      <w:pPr>
        <w:ind w:left="720"/>
        <w:rPr>
          <w:rFonts w:ascii="Calibri" w:hAnsi="Calibri"/>
          <w:color w:val="3366FF"/>
          <w:highlight w:val="yellow"/>
        </w:rPr>
      </w:pPr>
      <w:r w:rsidRPr="00F456C7">
        <w:rPr>
          <w:rFonts w:ascii="Calibri" w:hAnsi="Calibri"/>
          <w:color w:val="3366FF"/>
        </w:rPr>
        <w:t xml:space="preserve">The Scottish Government has taken some </w:t>
      </w:r>
      <w:r w:rsidR="00A16EAA" w:rsidRPr="00F456C7">
        <w:rPr>
          <w:rFonts w:ascii="Calibri" w:hAnsi="Calibri"/>
          <w:color w:val="3366FF"/>
        </w:rPr>
        <w:t>action</w:t>
      </w:r>
      <w:r w:rsidRPr="00F456C7">
        <w:rPr>
          <w:rFonts w:ascii="Calibri" w:hAnsi="Calibri"/>
          <w:color w:val="3366FF"/>
        </w:rPr>
        <w:t xml:space="preserve"> to prevent the need for food banks, </w:t>
      </w:r>
      <w:r w:rsidR="00615BD1" w:rsidRPr="00F456C7">
        <w:rPr>
          <w:rFonts w:ascii="Calibri" w:hAnsi="Calibri"/>
          <w:color w:val="3366FF"/>
        </w:rPr>
        <w:t>notably</w:t>
      </w:r>
      <w:r w:rsidRPr="00F456C7">
        <w:rPr>
          <w:rFonts w:ascii="Calibri" w:hAnsi="Calibri"/>
          <w:color w:val="3366FF"/>
        </w:rPr>
        <w:t xml:space="preserve"> </w:t>
      </w:r>
      <w:r w:rsidR="002A6D1A" w:rsidRPr="00F456C7">
        <w:rPr>
          <w:rFonts w:ascii="Calibri" w:hAnsi="Calibri"/>
          <w:color w:val="3366FF"/>
        </w:rPr>
        <w:t xml:space="preserve">investing </w:t>
      </w:r>
      <w:r w:rsidR="003D72EB" w:rsidRPr="00F456C7">
        <w:rPr>
          <w:rFonts w:ascii="Calibri" w:hAnsi="Calibri"/>
          <w:color w:val="3366FF"/>
        </w:rPr>
        <w:t>£3</w:t>
      </w:r>
      <w:r w:rsidR="002A6D1A" w:rsidRPr="00F456C7">
        <w:rPr>
          <w:rFonts w:ascii="Calibri" w:hAnsi="Calibri"/>
          <w:color w:val="3366FF"/>
        </w:rPr>
        <w:t>00mn to</w:t>
      </w:r>
      <w:r w:rsidRPr="00F456C7">
        <w:rPr>
          <w:rFonts w:ascii="Calibri" w:hAnsi="Calibri"/>
          <w:color w:val="3366FF"/>
        </w:rPr>
        <w:t xml:space="preserve"> mitigate the impact of welfare reform</w:t>
      </w:r>
      <w:r w:rsidR="00775D06">
        <w:rPr>
          <w:rFonts w:ascii="Calibri" w:hAnsi="Calibri"/>
          <w:color w:val="3366FF"/>
        </w:rPr>
        <w:t xml:space="preserve"> through financial support and the protection of services</w:t>
      </w:r>
      <w:r w:rsidRPr="00F456C7">
        <w:rPr>
          <w:rFonts w:ascii="Calibri" w:hAnsi="Calibri"/>
          <w:color w:val="3366FF"/>
        </w:rPr>
        <w:t>.</w:t>
      </w:r>
      <w:r w:rsidR="002A6D1A" w:rsidRPr="00F456C7">
        <w:rPr>
          <w:rStyle w:val="EndnoteReference"/>
          <w:rFonts w:ascii="Calibri" w:hAnsi="Calibri"/>
          <w:color w:val="3366FF"/>
        </w:rPr>
        <w:endnoteReference w:id="159"/>
      </w:r>
      <w:r w:rsidRPr="00F456C7">
        <w:rPr>
          <w:rFonts w:ascii="Calibri" w:hAnsi="Calibri"/>
          <w:color w:val="3366FF"/>
        </w:rPr>
        <w:t xml:space="preserve"> </w:t>
      </w:r>
      <w:r w:rsidR="00775D06">
        <w:rPr>
          <w:rFonts w:ascii="Calibri" w:hAnsi="Calibri"/>
          <w:color w:val="3366FF"/>
        </w:rPr>
        <w:t xml:space="preserve"> </w:t>
      </w:r>
      <w:r w:rsidR="009E6831" w:rsidRPr="003E6E55">
        <w:rPr>
          <w:rFonts w:ascii="Calibri" w:hAnsi="Calibri"/>
          <w:color w:val="3366FF"/>
        </w:rPr>
        <w:t xml:space="preserve">The Scottish Government’s </w:t>
      </w:r>
      <w:r w:rsidR="00F456C7" w:rsidRPr="003E6E55">
        <w:rPr>
          <w:rFonts w:ascii="Calibri" w:hAnsi="Calibri"/>
          <w:color w:val="3366FF"/>
        </w:rPr>
        <w:t xml:space="preserve">Fair Food Fund </w:t>
      </w:r>
      <w:r w:rsidR="00775D06">
        <w:rPr>
          <w:rFonts w:ascii="Calibri" w:hAnsi="Calibri"/>
          <w:color w:val="3366FF"/>
        </w:rPr>
        <w:t>is this year accepting</w:t>
      </w:r>
      <w:r w:rsidR="009E6831" w:rsidRPr="003E6E55">
        <w:rPr>
          <w:rFonts w:ascii="Calibri" w:hAnsi="Calibri"/>
          <w:color w:val="3366FF"/>
        </w:rPr>
        <w:t xml:space="preserve"> applications</w:t>
      </w:r>
      <w:r w:rsidR="00F456C7" w:rsidRPr="003E6E55">
        <w:rPr>
          <w:rFonts w:ascii="Calibri" w:hAnsi="Calibri"/>
          <w:color w:val="3366FF"/>
        </w:rPr>
        <w:t xml:space="preserve"> beyond the Trussell Trust and </w:t>
      </w:r>
      <w:proofErr w:type="spellStart"/>
      <w:r w:rsidR="00F456C7" w:rsidRPr="003E6E55">
        <w:rPr>
          <w:rFonts w:ascii="Calibri" w:hAnsi="Calibri"/>
          <w:color w:val="3366FF"/>
        </w:rPr>
        <w:t>FareShare</w:t>
      </w:r>
      <w:proofErr w:type="spellEnd"/>
      <w:r w:rsidR="009E6831" w:rsidRPr="003E6E55">
        <w:rPr>
          <w:rFonts w:ascii="Calibri" w:hAnsi="Calibri"/>
          <w:color w:val="3366FF"/>
        </w:rPr>
        <w:t xml:space="preserve"> </w:t>
      </w:r>
      <w:r w:rsidR="003E6E55" w:rsidRPr="003E6E55">
        <w:rPr>
          <w:rFonts w:ascii="Calibri" w:hAnsi="Calibri"/>
          <w:color w:val="3366FF"/>
        </w:rPr>
        <w:t>to include community organisations developing long-term rights-based solutions.</w:t>
      </w:r>
      <w:r w:rsidR="00F456C7" w:rsidRPr="003E6E55">
        <w:rPr>
          <w:rFonts w:ascii="Calibri" w:hAnsi="Calibri"/>
          <w:color w:val="3366FF"/>
        </w:rPr>
        <w:t xml:space="preserve"> </w:t>
      </w:r>
      <w:r w:rsidR="003E6E55">
        <w:rPr>
          <w:rFonts w:ascii="Calibri" w:hAnsi="Calibri"/>
          <w:color w:val="3366FF"/>
        </w:rPr>
        <w:t>Some local authorities have also adopted cash-first initiatives; referring people experiencing an income crisis to appropriate advice services b</w:t>
      </w:r>
      <w:r w:rsidR="00775D06">
        <w:rPr>
          <w:rFonts w:ascii="Calibri" w:hAnsi="Calibri"/>
          <w:color w:val="3366FF"/>
        </w:rPr>
        <w:t xml:space="preserve">efore referring to a food bank – </w:t>
      </w:r>
      <w:r w:rsidR="00775D06" w:rsidRPr="00775D06">
        <w:rPr>
          <w:rFonts w:ascii="Calibri" w:hAnsi="Calibri"/>
          <w:i/>
          <w:color w:val="3366FF"/>
        </w:rPr>
        <w:t xml:space="preserve">see </w:t>
      </w:r>
      <w:r w:rsidR="00AF5864">
        <w:rPr>
          <w:rFonts w:ascii="Calibri" w:hAnsi="Calibri"/>
          <w:i/>
          <w:color w:val="3366FF"/>
        </w:rPr>
        <w:t>page 14</w:t>
      </w:r>
      <w:r w:rsidR="00775D06" w:rsidRPr="00775D06">
        <w:rPr>
          <w:rFonts w:ascii="Calibri" w:hAnsi="Calibri"/>
          <w:i/>
          <w:color w:val="3366FF"/>
        </w:rPr>
        <w:t xml:space="preserve"> for comment</w:t>
      </w:r>
      <w:r w:rsidR="00775D06">
        <w:rPr>
          <w:rFonts w:ascii="Calibri" w:hAnsi="Calibri"/>
          <w:color w:val="3366FF"/>
        </w:rPr>
        <w:t>.</w:t>
      </w:r>
    </w:p>
    <w:p w14:paraId="256BF5AB" w14:textId="71C209DA" w:rsidR="00E75066" w:rsidRPr="006D4AB3" w:rsidRDefault="00775D06" w:rsidP="00E75066">
      <w:pPr>
        <w:ind w:left="720"/>
        <w:rPr>
          <w:rFonts w:ascii="Calibri" w:hAnsi="Calibri"/>
          <w:highlight w:val="yellow"/>
        </w:rPr>
      </w:pPr>
      <w:r>
        <w:rPr>
          <w:rFonts w:ascii="Calibri" w:hAnsi="Calibri"/>
          <w:color w:val="3366FF"/>
        </w:rPr>
        <w:t>In 2015 t</w:t>
      </w:r>
      <w:r w:rsidR="00644BF0" w:rsidRPr="007F60E4">
        <w:rPr>
          <w:rFonts w:ascii="Calibri" w:hAnsi="Calibri"/>
          <w:color w:val="3366FF"/>
        </w:rPr>
        <w:t xml:space="preserve">he Cabinet Secretary for Social Justice established a civil society </w:t>
      </w:r>
      <w:r w:rsidR="00506EFF" w:rsidRPr="007F60E4">
        <w:rPr>
          <w:rFonts w:ascii="Calibri" w:hAnsi="Calibri"/>
          <w:color w:val="3366FF"/>
        </w:rPr>
        <w:t>W</w:t>
      </w:r>
      <w:r w:rsidR="00644BF0" w:rsidRPr="007F60E4">
        <w:rPr>
          <w:rFonts w:ascii="Calibri" w:hAnsi="Calibri"/>
          <w:color w:val="3366FF"/>
        </w:rPr>
        <w:t xml:space="preserve">orking </w:t>
      </w:r>
      <w:r w:rsidR="00506EFF" w:rsidRPr="007F60E4">
        <w:rPr>
          <w:rFonts w:ascii="Calibri" w:hAnsi="Calibri"/>
          <w:color w:val="3366FF"/>
        </w:rPr>
        <w:t>G</w:t>
      </w:r>
      <w:r w:rsidR="00644BF0" w:rsidRPr="007F60E4">
        <w:rPr>
          <w:rFonts w:ascii="Calibri" w:hAnsi="Calibri"/>
          <w:color w:val="3366FF"/>
        </w:rPr>
        <w:t>roup</w:t>
      </w:r>
      <w:r w:rsidR="00506EFF" w:rsidRPr="007F60E4">
        <w:rPr>
          <w:rFonts w:ascii="Calibri" w:hAnsi="Calibri"/>
          <w:color w:val="3366FF"/>
        </w:rPr>
        <w:t xml:space="preserve"> on </w:t>
      </w:r>
      <w:r w:rsidR="00644BF0" w:rsidRPr="007F60E4">
        <w:rPr>
          <w:rFonts w:ascii="Calibri" w:hAnsi="Calibri"/>
          <w:color w:val="3366FF"/>
        </w:rPr>
        <w:t>identifying issues that pu</w:t>
      </w:r>
      <w:r>
        <w:rPr>
          <w:rFonts w:ascii="Calibri" w:hAnsi="Calibri"/>
          <w:color w:val="3366FF"/>
        </w:rPr>
        <w:t>sh people in to food insecurity</w:t>
      </w:r>
      <w:r w:rsidR="00644BF0" w:rsidRPr="007F60E4">
        <w:rPr>
          <w:rFonts w:ascii="Calibri" w:hAnsi="Calibri"/>
          <w:color w:val="3366FF"/>
        </w:rPr>
        <w:t>. As a member of the Working Group Nourish has pushed for a recommendation on the right to food and is hopeful that this will b</w:t>
      </w:r>
      <w:r>
        <w:rPr>
          <w:rFonts w:ascii="Calibri" w:hAnsi="Calibri"/>
          <w:color w:val="3366FF"/>
        </w:rPr>
        <w:t xml:space="preserve">e reflected in the final report, </w:t>
      </w:r>
      <w:r w:rsidR="00644BF0" w:rsidRPr="007F60E4">
        <w:rPr>
          <w:rFonts w:ascii="Calibri" w:hAnsi="Calibri"/>
          <w:color w:val="3366FF"/>
        </w:rPr>
        <w:t>and</w:t>
      </w:r>
      <w:r>
        <w:rPr>
          <w:rFonts w:ascii="Calibri" w:hAnsi="Calibri"/>
          <w:color w:val="3366FF"/>
        </w:rPr>
        <w:t xml:space="preserve"> is</w:t>
      </w:r>
      <w:r w:rsidR="00644BF0" w:rsidRPr="007F60E4">
        <w:rPr>
          <w:rFonts w:ascii="Calibri" w:hAnsi="Calibri"/>
          <w:color w:val="3366FF"/>
        </w:rPr>
        <w:t xml:space="preserve"> actioned by the next Scottish Parliament. Three of the main political parties</w:t>
      </w:r>
      <w:r w:rsidR="007F60E4" w:rsidRPr="007F60E4">
        <w:rPr>
          <w:rFonts w:ascii="Calibri" w:hAnsi="Calibri"/>
          <w:color w:val="3366FF"/>
        </w:rPr>
        <w:t xml:space="preserve"> elected in the recent </w:t>
      </w:r>
      <w:r w:rsidR="00644BF0" w:rsidRPr="007F60E4">
        <w:rPr>
          <w:rFonts w:ascii="Calibri" w:hAnsi="Calibri"/>
          <w:color w:val="3366FF"/>
        </w:rPr>
        <w:t xml:space="preserve">Scottish Parliament election made manifesto commitments to introducing legislation on Food, Farming and Health, which could provide much needed strategic action on the right to food. Some parties also made commitments to incorporating covenants </w:t>
      </w:r>
      <w:r w:rsidR="00644BF0" w:rsidRPr="007F60E4">
        <w:rPr>
          <w:rFonts w:ascii="Calibri" w:hAnsi="Calibri"/>
          <w:b/>
          <w:color w:val="3366FF"/>
        </w:rPr>
        <w:t>but were not explicit in their endorsement of ICESCR</w:t>
      </w:r>
      <w:r w:rsidR="00644BF0" w:rsidRPr="007F60E4">
        <w:rPr>
          <w:rFonts w:ascii="Calibri" w:hAnsi="Calibri"/>
          <w:color w:val="3366FF"/>
        </w:rPr>
        <w:t>.</w:t>
      </w:r>
      <w:r w:rsidR="00E75066" w:rsidRPr="00E75066">
        <w:rPr>
          <w:rFonts w:ascii="Calibri" w:hAnsi="Calibri"/>
          <w:highlight w:val="yellow"/>
        </w:rPr>
        <w:t xml:space="preserve"> </w:t>
      </w:r>
    </w:p>
    <w:p w14:paraId="7B661BA9" w14:textId="63B456A1" w:rsidR="006C1A70" w:rsidRPr="006C1A70" w:rsidRDefault="006C1A70" w:rsidP="003E6E55">
      <w:pPr>
        <w:ind w:left="720"/>
        <w:rPr>
          <w:rFonts w:ascii="Calibri" w:hAnsi="Calibri"/>
        </w:rPr>
      </w:pPr>
      <w:r w:rsidRPr="006C1A70">
        <w:rPr>
          <w:rFonts w:ascii="Calibri" w:hAnsi="Calibri"/>
        </w:rPr>
        <w:t xml:space="preserve">The UK Government has regressed in the progressive realisation of the right to food, with many austerity measures </w:t>
      </w:r>
      <w:r>
        <w:rPr>
          <w:rFonts w:ascii="Calibri" w:hAnsi="Calibri"/>
        </w:rPr>
        <w:t>having a</w:t>
      </w:r>
      <w:r w:rsidRPr="006C1A70">
        <w:rPr>
          <w:rFonts w:ascii="Calibri" w:hAnsi="Calibri"/>
        </w:rPr>
        <w:t xml:space="preserve"> discriminatory impact </w:t>
      </w:r>
      <w:r>
        <w:rPr>
          <w:rFonts w:ascii="Calibri" w:hAnsi="Calibri"/>
        </w:rPr>
        <w:t xml:space="preserve">on the right </w:t>
      </w:r>
      <w:r w:rsidRPr="006C1A70">
        <w:rPr>
          <w:rFonts w:ascii="Calibri" w:hAnsi="Calibri"/>
        </w:rPr>
        <w:t xml:space="preserve">in a way prohibited by the Covenant. The UK Government is in breach of the immediate right to be free from hunger and lacks a strategic plan on the realisation of Article 11 rights, including monitoring and access to justice. </w:t>
      </w:r>
      <w:r w:rsidR="00D4681A">
        <w:rPr>
          <w:rFonts w:ascii="Calibri" w:hAnsi="Calibri"/>
        </w:rPr>
        <w:br/>
        <w:t>The failures on the right to food extend beyond financial accessibility and include failures across dietary adequacy, freedom from adverse substances, cultural appropriateness, access to land and other resources, processing, distribution and markers, and sustainability in to the future.</w:t>
      </w:r>
    </w:p>
    <w:p w14:paraId="50BF61A5" w14:textId="77777777" w:rsidR="007A55E0" w:rsidRDefault="007A55E0">
      <w:pPr>
        <w:rPr>
          <w:rFonts w:ascii="Calibri" w:hAnsi="Calibri"/>
          <w:b/>
          <w:sz w:val="28"/>
        </w:rPr>
      </w:pPr>
      <w:r>
        <w:rPr>
          <w:rFonts w:ascii="Calibri" w:hAnsi="Calibri"/>
          <w:b/>
          <w:sz w:val="28"/>
        </w:rPr>
        <w:br w:type="page"/>
      </w:r>
    </w:p>
    <w:p w14:paraId="0BBD016D" w14:textId="2D668314" w:rsidR="00506EFF" w:rsidRPr="006D4AB3" w:rsidRDefault="00506EFF" w:rsidP="001915FC">
      <w:pPr>
        <w:rPr>
          <w:rFonts w:ascii="Calibri" w:hAnsi="Calibri"/>
          <w:b/>
          <w:sz w:val="28"/>
        </w:rPr>
      </w:pPr>
      <w:r w:rsidRPr="006D4AB3">
        <w:rPr>
          <w:rFonts w:ascii="Calibri" w:hAnsi="Calibri"/>
          <w:b/>
          <w:sz w:val="28"/>
        </w:rPr>
        <w:lastRenderedPageBreak/>
        <w:t>Women</w:t>
      </w:r>
    </w:p>
    <w:p w14:paraId="6CEC749B" w14:textId="1A0CC270" w:rsidR="00B41B26" w:rsidRPr="006D4AB3" w:rsidRDefault="00E13ABD" w:rsidP="001915FC">
      <w:pPr>
        <w:ind w:left="720"/>
        <w:rPr>
          <w:rFonts w:ascii="Calibri" w:hAnsi="Calibri"/>
        </w:rPr>
      </w:pPr>
      <w:r w:rsidRPr="006D4AB3">
        <w:rPr>
          <w:rFonts w:ascii="Calibri" w:hAnsi="Calibri"/>
        </w:rPr>
        <w:t>There is still</w:t>
      </w:r>
      <w:r w:rsidR="0093308E" w:rsidRPr="006D4AB3">
        <w:rPr>
          <w:rFonts w:ascii="Calibri" w:hAnsi="Calibri"/>
        </w:rPr>
        <w:t xml:space="preserve"> </w:t>
      </w:r>
      <w:r w:rsidR="0093308E" w:rsidRPr="006D4AB3">
        <w:rPr>
          <w:rFonts w:ascii="Calibri" w:hAnsi="Calibri"/>
          <w:b/>
        </w:rPr>
        <w:t xml:space="preserve">a persistent gender pay gap of 11% in </w:t>
      </w:r>
      <w:r w:rsidR="00B41B26" w:rsidRPr="006D4AB3">
        <w:rPr>
          <w:rFonts w:ascii="Calibri" w:hAnsi="Calibri"/>
          <w:b/>
        </w:rPr>
        <w:t>full</w:t>
      </w:r>
      <w:r w:rsidR="0093308E" w:rsidRPr="006D4AB3">
        <w:rPr>
          <w:rFonts w:ascii="Calibri" w:hAnsi="Calibri"/>
          <w:b/>
        </w:rPr>
        <w:t>-time work</w:t>
      </w:r>
      <w:r w:rsidR="00B41B26" w:rsidRPr="006D4AB3">
        <w:rPr>
          <w:rFonts w:ascii="Calibri" w:hAnsi="Calibri"/>
          <w:b/>
        </w:rPr>
        <w:t xml:space="preserve"> and </w:t>
      </w:r>
      <w:r w:rsidR="0093308E" w:rsidRPr="006D4AB3">
        <w:rPr>
          <w:rFonts w:ascii="Calibri" w:hAnsi="Calibri"/>
          <w:b/>
        </w:rPr>
        <w:t xml:space="preserve">34% in </w:t>
      </w:r>
      <w:r w:rsidRPr="006D4AB3">
        <w:rPr>
          <w:rFonts w:ascii="Calibri" w:hAnsi="Calibri"/>
          <w:b/>
        </w:rPr>
        <w:t>part-</w:t>
      </w:r>
      <w:r w:rsidR="00B41B26" w:rsidRPr="006D4AB3">
        <w:rPr>
          <w:rFonts w:ascii="Calibri" w:hAnsi="Calibri"/>
          <w:b/>
        </w:rPr>
        <w:t>time work</w:t>
      </w:r>
      <w:r w:rsidR="00B41B26" w:rsidRPr="006D4AB3">
        <w:rPr>
          <w:rFonts w:ascii="Calibri" w:hAnsi="Calibri"/>
        </w:rPr>
        <w:t>.</w:t>
      </w:r>
      <w:r w:rsidR="0093308E" w:rsidRPr="006D4AB3">
        <w:rPr>
          <w:rStyle w:val="EndnoteReference"/>
          <w:rFonts w:ascii="Calibri" w:hAnsi="Calibri"/>
        </w:rPr>
        <w:endnoteReference w:id="160"/>
      </w:r>
      <w:r w:rsidR="00B41B26" w:rsidRPr="006D4AB3">
        <w:rPr>
          <w:rFonts w:ascii="Calibri" w:hAnsi="Calibri"/>
        </w:rPr>
        <w:t xml:space="preserve"> Women are </w:t>
      </w:r>
      <w:r w:rsidRPr="006D4AB3">
        <w:rPr>
          <w:rFonts w:ascii="Calibri" w:hAnsi="Calibri"/>
        </w:rPr>
        <w:t>often</w:t>
      </w:r>
      <w:r w:rsidR="00B41B26" w:rsidRPr="006D4AB3">
        <w:rPr>
          <w:rFonts w:ascii="Calibri" w:hAnsi="Calibri"/>
        </w:rPr>
        <w:t xml:space="preserve"> underempl</w:t>
      </w:r>
      <w:r w:rsidR="001F6AAB" w:rsidRPr="006D4AB3">
        <w:rPr>
          <w:rFonts w:ascii="Calibri" w:hAnsi="Calibri"/>
        </w:rPr>
        <w:t>o</w:t>
      </w:r>
      <w:r w:rsidRPr="006D4AB3">
        <w:rPr>
          <w:rFonts w:ascii="Calibri" w:hAnsi="Calibri"/>
        </w:rPr>
        <w:t>yed and in ins</w:t>
      </w:r>
      <w:r w:rsidR="00B41B26" w:rsidRPr="006D4AB3">
        <w:rPr>
          <w:rFonts w:ascii="Calibri" w:hAnsi="Calibri"/>
        </w:rPr>
        <w:t>ecure low paid work</w:t>
      </w:r>
      <w:r w:rsidR="001F6AAB" w:rsidRPr="006D4AB3">
        <w:rPr>
          <w:rFonts w:ascii="Calibri" w:hAnsi="Calibri"/>
        </w:rPr>
        <w:t xml:space="preserve"> – 75% of the</w:t>
      </w:r>
      <w:r w:rsidR="006B7293" w:rsidRPr="006D4AB3">
        <w:rPr>
          <w:rFonts w:ascii="Calibri" w:hAnsi="Calibri"/>
        </w:rPr>
        <w:t xml:space="preserve"> part-time work</w:t>
      </w:r>
      <w:r w:rsidR="001F6AAB" w:rsidRPr="006D4AB3">
        <w:rPr>
          <w:rFonts w:ascii="Calibri" w:hAnsi="Calibri"/>
        </w:rPr>
        <w:t xml:space="preserve">force are </w:t>
      </w:r>
      <w:proofErr w:type="gramStart"/>
      <w:r w:rsidR="001F6AAB" w:rsidRPr="006D4AB3">
        <w:rPr>
          <w:rFonts w:ascii="Calibri" w:hAnsi="Calibri"/>
        </w:rPr>
        <w:t>women</w:t>
      </w:r>
      <w:proofErr w:type="gramEnd"/>
      <w:r w:rsidR="001F6AAB" w:rsidRPr="006D4AB3">
        <w:rPr>
          <w:rFonts w:ascii="Calibri" w:hAnsi="Calibri"/>
        </w:rPr>
        <w:t xml:space="preserve">, and </w:t>
      </w:r>
      <w:r w:rsidR="001F6AAB" w:rsidRPr="006D4AB3">
        <w:rPr>
          <w:rFonts w:ascii="Calibri" w:hAnsi="Calibri"/>
          <w:b/>
        </w:rPr>
        <w:t>29% of women earn below the Living Wage</w:t>
      </w:r>
      <w:r w:rsidR="001F6AAB" w:rsidRPr="006D4AB3">
        <w:rPr>
          <w:rFonts w:ascii="Calibri" w:hAnsi="Calibri"/>
        </w:rPr>
        <w:t>.</w:t>
      </w:r>
      <w:r w:rsidR="001F6AAB" w:rsidRPr="006D4AB3">
        <w:rPr>
          <w:rStyle w:val="EndnoteReference"/>
          <w:rFonts w:ascii="Calibri" w:hAnsi="Calibri"/>
        </w:rPr>
        <w:endnoteReference w:id="161"/>
      </w:r>
      <w:r w:rsidR="001F6AAB" w:rsidRPr="006D4AB3">
        <w:rPr>
          <w:rFonts w:ascii="Calibri" w:hAnsi="Calibri"/>
        </w:rPr>
        <w:t xml:space="preserve"> </w:t>
      </w:r>
      <w:r w:rsidR="004A02CA" w:rsidRPr="006D4AB3">
        <w:rPr>
          <w:rFonts w:ascii="Calibri" w:hAnsi="Calibri"/>
        </w:rPr>
        <w:t xml:space="preserve">Women bear a larger burden of unpaid caring responsibilities, and lone parents </w:t>
      </w:r>
      <w:r w:rsidR="001C681F" w:rsidRPr="006D4AB3">
        <w:rPr>
          <w:rFonts w:ascii="Calibri" w:hAnsi="Calibri"/>
        </w:rPr>
        <w:t xml:space="preserve">- 92% of </w:t>
      </w:r>
      <w:r w:rsidR="00AD3FAC" w:rsidRPr="006D4AB3">
        <w:rPr>
          <w:rFonts w:ascii="Calibri" w:hAnsi="Calibri"/>
        </w:rPr>
        <w:t>who</w:t>
      </w:r>
      <w:r w:rsidR="001C681F" w:rsidRPr="006D4AB3">
        <w:rPr>
          <w:rFonts w:ascii="Calibri" w:hAnsi="Calibri"/>
        </w:rPr>
        <w:t xml:space="preserve"> are</w:t>
      </w:r>
      <w:r w:rsidR="004A02CA" w:rsidRPr="006D4AB3">
        <w:rPr>
          <w:rFonts w:ascii="Calibri" w:hAnsi="Calibri"/>
        </w:rPr>
        <w:t xml:space="preserve"> women</w:t>
      </w:r>
      <w:r w:rsidR="001C681F" w:rsidRPr="006D4AB3">
        <w:rPr>
          <w:rFonts w:ascii="Calibri" w:hAnsi="Calibri"/>
        </w:rPr>
        <w:t xml:space="preserve"> -</w:t>
      </w:r>
      <w:r w:rsidR="004A02CA" w:rsidRPr="006D4AB3">
        <w:rPr>
          <w:rFonts w:ascii="Calibri" w:hAnsi="Calibri"/>
        </w:rPr>
        <w:t xml:space="preserve"> face </w:t>
      </w:r>
      <w:r w:rsidR="006B7293" w:rsidRPr="006D4AB3">
        <w:rPr>
          <w:rFonts w:ascii="Calibri" w:hAnsi="Calibri"/>
        </w:rPr>
        <w:t xml:space="preserve">some of the </w:t>
      </w:r>
      <w:r w:rsidR="004A02CA" w:rsidRPr="006D4AB3">
        <w:rPr>
          <w:rFonts w:ascii="Calibri" w:hAnsi="Calibri"/>
        </w:rPr>
        <w:t>high</w:t>
      </w:r>
      <w:r w:rsidR="006B7293" w:rsidRPr="006D4AB3">
        <w:rPr>
          <w:rFonts w:ascii="Calibri" w:hAnsi="Calibri"/>
        </w:rPr>
        <w:t>est</w:t>
      </w:r>
      <w:r w:rsidR="004A02CA" w:rsidRPr="006D4AB3">
        <w:rPr>
          <w:rFonts w:ascii="Calibri" w:hAnsi="Calibri"/>
        </w:rPr>
        <w:t xml:space="preserve"> </w:t>
      </w:r>
      <w:r w:rsidR="00AD3FAC" w:rsidRPr="006D4AB3">
        <w:rPr>
          <w:rFonts w:ascii="Calibri" w:hAnsi="Calibri"/>
        </w:rPr>
        <w:t>childcare</w:t>
      </w:r>
      <w:r w:rsidR="004A02CA" w:rsidRPr="006D4AB3">
        <w:rPr>
          <w:rFonts w:ascii="Calibri" w:hAnsi="Calibri"/>
        </w:rPr>
        <w:t xml:space="preserve"> costs</w:t>
      </w:r>
      <w:r w:rsidR="001C681F" w:rsidRPr="006D4AB3">
        <w:rPr>
          <w:rFonts w:ascii="Calibri" w:hAnsi="Calibri"/>
        </w:rPr>
        <w:t xml:space="preserve"> in</w:t>
      </w:r>
      <w:r w:rsidR="006B7293" w:rsidRPr="006D4AB3">
        <w:rPr>
          <w:rFonts w:ascii="Calibri" w:hAnsi="Calibri"/>
        </w:rPr>
        <w:t xml:space="preserve"> the world</w:t>
      </w:r>
      <w:r w:rsidR="004A02CA" w:rsidRPr="006D4AB3">
        <w:rPr>
          <w:rFonts w:ascii="Calibri" w:hAnsi="Calibri"/>
        </w:rPr>
        <w:t>. These</w:t>
      </w:r>
      <w:r w:rsidRPr="006D4AB3">
        <w:rPr>
          <w:rFonts w:ascii="Calibri" w:hAnsi="Calibri"/>
        </w:rPr>
        <w:t xml:space="preserve"> and other s</w:t>
      </w:r>
      <w:r w:rsidR="004A02CA" w:rsidRPr="006D4AB3">
        <w:rPr>
          <w:rFonts w:ascii="Calibri" w:hAnsi="Calibri"/>
        </w:rPr>
        <w:t xml:space="preserve">tructural </w:t>
      </w:r>
      <w:r w:rsidR="00D048D7" w:rsidRPr="006D4AB3">
        <w:rPr>
          <w:rFonts w:ascii="Calibri" w:hAnsi="Calibri"/>
        </w:rPr>
        <w:t xml:space="preserve">barriers to women’s </w:t>
      </w:r>
      <w:r w:rsidRPr="006D4AB3">
        <w:rPr>
          <w:rFonts w:ascii="Calibri" w:hAnsi="Calibri"/>
        </w:rPr>
        <w:t>participation</w:t>
      </w:r>
      <w:r w:rsidR="00D048D7" w:rsidRPr="006D4AB3">
        <w:rPr>
          <w:rFonts w:ascii="Calibri" w:hAnsi="Calibri"/>
        </w:rPr>
        <w:t xml:space="preserve"> in the formal labour market </w:t>
      </w:r>
      <w:r w:rsidR="006B7293" w:rsidRPr="006D4AB3">
        <w:rPr>
          <w:rFonts w:ascii="Calibri" w:hAnsi="Calibri"/>
        </w:rPr>
        <w:t>mean</w:t>
      </w:r>
      <w:r w:rsidR="00D048D7" w:rsidRPr="006D4AB3">
        <w:rPr>
          <w:rFonts w:ascii="Calibri" w:hAnsi="Calibri"/>
        </w:rPr>
        <w:t xml:space="preserve"> more women r</w:t>
      </w:r>
      <w:r w:rsidR="006B7293" w:rsidRPr="006D4AB3">
        <w:rPr>
          <w:rFonts w:ascii="Calibri" w:hAnsi="Calibri"/>
        </w:rPr>
        <w:t>eceive</w:t>
      </w:r>
      <w:r w:rsidR="002E178B" w:rsidRPr="006D4AB3">
        <w:rPr>
          <w:rFonts w:ascii="Calibri" w:hAnsi="Calibri"/>
        </w:rPr>
        <w:t xml:space="preserve"> social security</w:t>
      </w:r>
      <w:r w:rsidR="00D048D7" w:rsidRPr="006D4AB3">
        <w:rPr>
          <w:rFonts w:ascii="Calibri" w:hAnsi="Calibri"/>
        </w:rPr>
        <w:t xml:space="preserve"> support</w:t>
      </w:r>
      <w:r w:rsidR="005537D1" w:rsidRPr="006D4AB3">
        <w:rPr>
          <w:rFonts w:ascii="Calibri" w:hAnsi="Calibri"/>
        </w:rPr>
        <w:t xml:space="preserve"> </w:t>
      </w:r>
      <w:r w:rsidR="00D048D7" w:rsidRPr="006D4AB3">
        <w:rPr>
          <w:rFonts w:ascii="Calibri" w:hAnsi="Calibri"/>
        </w:rPr>
        <w:t>than men.</w:t>
      </w:r>
    </w:p>
    <w:p w14:paraId="46425F7C" w14:textId="745108D8" w:rsidR="0077101D" w:rsidRPr="006D4AB3" w:rsidRDefault="00B41B26" w:rsidP="001915FC">
      <w:pPr>
        <w:ind w:left="720"/>
        <w:rPr>
          <w:rFonts w:ascii="Calibri" w:hAnsi="Calibri"/>
        </w:rPr>
      </w:pPr>
      <w:r w:rsidRPr="006D4AB3">
        <w:rPr>
          <w:rFonts w:ascii="Calibri" w:hAnsi="Calibri"/>
        </w:rPr>
        <w:t>T</w:t>
      </w:r>
      <w:r w:rsidR="00506EFF" w:rsidRPr="006D4AB3">
        <w:rPr>
          <w:rFonts w:ascii="Calibri" w:hAnsi="Calibri"/>
        </w:rPr>
        <w:t>he</w:t>
      </w:r>
      <w:r w:rsidRPr="006D4AB3">
        <w:rPr>
          <w:rFonts w:ascii="Calibri" w:hAnsi="Calibri"/>
        </w:rPr>
        <w:t xml:space="preserve"> </w:t>
      </w:r>
      <w:r w:rsidR="004A02CA" w:rsidRPr="006D4AB3">
        <w:rPr>
          <w:rFonts w:ascii="Calibri" w:hAnsi="Calibri"/>
        </w:rPr>
        <w:t xml:space="preserve">government’s </w:t>
      </w:r>
      <w:r w:rsidRPr="006D4AB3">
        <w:rPr>
          <w:rFonts w:ascii="Calibri" w:hAnsi="Calibri"/>
        </w:rPr>
        <w:t>programme of</w:t>
      </w:r>
      <w:r w:rsidR="00506EFF" w:rsidRPr="006D4AB3">
        <w:rPr>
          <w:rFonts w:ascii="Calibri" w:hAnsi="Calibri"/>
        </w:rPr>
        <w:t xml:space="preserve"> scrapping, freezing, down-rating, limiting, and capping social security </w:t>
      </w:r>
      <w:r w:rsidRPr="006D4AB3">
        <w:rPr>
          <w:rFonts w:ascii="Calibri" w:hAnsi="Calibri"/>
        </w:rPr>
        <w:t xml:space="preserve">has </w:t>
      </w:r>
      <w:r w:rsidR="00D048D7" w:rsidRPr="006D4AB3">
        <w:rPr>
          <w:rFonts w:ascii="Calibri" w:hAnsi="Calibri"/>
        </w:rPr>
        <w:t>therefore</w:t>
      </w:r>
      <w:r w:rsidR="00D048D7" w:rsidRPr="006D4AB3">
        <w:rPr>
          <w:rFonts w:ascii="Calibri" w:hAnsi="Calibri"/>
          <w:b/>
        </w:rPr>
        <w:t xml:space="preserve"> </w:t>
      </w:r>
      <w:r w:rsidRPr="006D4AB3">
        <w:rPr>
          <w:rFonts w:ascii="Calibri" w:hAnsi="Calibri"/>
          <w:b/>
        </w:rPr>
        <w:t xml:space="preserve">disproportionately impacted </w:t>
      </w:r>
      <w:r w:rsidR="004A02CA" w:rsidRPr="006D4AB3">
        <w:rPr>
          <w:rFonts w:ascii="Calibri" w:hAnsi="Calibri"/>
          <w:b/>
        </w:rPr>
        <w:t>on women, who have borne 85% of the cuts</w:t>
      </w:r>
      <w:r w:rsidR="004A02CA" w:rsidRPr="006D4AB3">
        <w:rPr>
          <w:rFonts w:ascii="Calibri" w:hAnsi="Calibri"/>
        </w:rPr>
        <w:t>.</w:t>
      </w:r>
      <w:r w:rsidR="001F6AAB" w:rsidRPr="006D4AB3">
        <w:rPr>
          <w:rStyle w:val="EndnoteReference"/>
          <w:rFonts w:ascii="Calibri" w:hAnsi="Calibri"/>
        </w:rPr>
        <w:endnoteReference w:id="162"/>
      </w:r>
      <w:r w:rsidR="00CC7D3C" w:rsidRPr="006D4AB3">
        <w:rPr>
          <w:rFonts w:ascii="Calibri" w:hAnsi="Calibri"/>
        </w:rPr>
        <w:t xml:space="preserve"> </w:t>
      </w:r>
      <w:r w:rsidR="00120B76" w:rsidRPr="006D4AB3">
        <w:rPr>
          <w:rFonts w:ascii="Calibri" w:hAnsi="Calibri"/>
        </w:rPr>
        <w:t>Yet t</w:t>
      </w:r>
      <w:r w:rsidR="00CC7D3C" w:rsidRPr="006D4AB3">
        <w:rPr>
          <w:rFonts w:ascii="Calibri" w:hAnsi="Calibri"/>
        </w:rPr>
        <w:t>he UK Government has failed to undertake a cumulative impact assessment of the reforms.</w:t>
      </w:r>
      <w:r w:rsidR="004F2670" w:rsidRPr="006D4AB3">
        <w:rPr>
          <w:rFonts w:ascii="Calibri" w:hAnsi="Calibri"/>
        </w:rPr>
        <w:t xml:space="preserve"> </w:t>
      </w:r>
      <w:r w:rsidR="005537D1" w:rsidRPr="006D4AB3">
        <w:rPr>
          <w:rFonts w:ascii="Calibri" w:hAnsi="Calibri"/>
        </w:rPr>
        <w:t>An assessment</w:t>
      </w:r>
      <w:r w:rsidR="00972F9B" w:rsidRPr="006D4AB3">
        <w:rPr>
          <w:rFonts w:ascii="Calibri" w:hAnsi="Calibri"/>
        </w:rPr>
        <w:t xml:space="preserve"> undertaken for</w:t>
      </w:r>
      <w:r w:rsidR="005537D1" w:rsidRPr="006D4AB3">
        <w:rPr>
          <w:rFonts w:ascii="Calibri" w:hAnsi="Calibri"/>
        </w:rPr>
        <w:t xml:space="preserve"> the Equality and Human Rights Commission suggested that </w:t>
      </w:r>
      <w:r w:rsidR="00F24B49">
        <w:rPr>
          <w:rFonts w:ascii="Calibri" w:hAnsi="Calibri"/>
          <w:b/>
        </w:rPr>
        <w:t>at every income-</w:t>
      </w:r>
      <w:r w:rsidR="005537D1" w:rsidRPr="006D4AB3">
        <w:rPr>
          <w:rFonts w:ascii="Calibri" w:hAnsi="Calibri"/>
          <w:b/>
        </w:rPr>
        <w:t>decile women stood to lose more than men in cash, services, and percentage of income</w:t>
      </w:r>
      <w:r w:rsidR="005537D1" w:rsidRPr="006D4AB3">
        <w:rPr>
          <w:rFonts w:ascii="Calibri" w:hAnsi="Calibri"/>
        </w:rPr>
        <w:t>.</w:t>
      </w:r>
      <w:r w:rsidR="005537D1" w:rsidRPr="006D4AB3">
        <w:rPr>
          <w:rStyle w:val="EndnoteReference"/>
          <w:rFonts w:ascii="Calibri" w:hAnsi="Calibri"/>
        </w:rPr>
        <w:endnoteReference w:id="163"/>
      </w:r>
      <w:r w:rsidR="005537D1" w:rsidRPr="006D4AB3">
        <w:rPr>
          <w:rFonts w:ascii="Calibri" w:hAnsi="Calibri"/>
        </w:rPr>
        <w:t xml:space="preserve"> </w:t>
      </w:r>
      <w:r w:rsidR="006B7293" w:rsidRPr="006D4AB3">
        <w:rPr>
          <w:rFonts w:ascii="Calibri" w:hAnsi="Calibri"/>
        </w:rPr>
        <w:t>The impa</w:t>
      </w:r>
      <w:r w:rsidR="00E13ABD" w:rsidRPr="006D4AB3">
        <w:rPr>
          <w:rFonts w:ascii="Calibri" w:hAnsi="Calibri"/>
        </w:rPr>
        <w:t>cts have been even greater</w:t>
      </w:r>
      <w:r w:rsidR="006B7293" w:rsidRPr="006D4AB3">
        <w:rPr>
          <w:rFonts w:ascii="Calibri" w:hAnsi="Calibri"/>
        </w:rPr>
        <w:t xml:space="preserve"> for w</w:t>
      </w:r>
      <w:r w:rsidR="00CC7D3C" w:rsidRPr="006D4AB3">
        <w:rPr>
          <w:rFonts w:ascii="Calibri" w:hAnsi="Calibri"/>
        </w:rPr>
        <w:t xml:space="preserve">omen who are disabled, </w:t>
      </w:r>
      <w:r w:rsidR="004F2670" w:rsidRPr="006D4AB3">
        <w:rPr>
          <w:rFonts w:ascii="Calibri" w:hAnsi="Calibri"/>
        </w:rPr>
        <w:t xml:space="preserve">are </w:t>
      </w:r>
      <w:r w:rsidR="00CC7D3C" w:rsidRPr="006D4AB3">
        <w:rPr>
          <w:rFonts w:ascii="Calibri" w:hAnsi="Calibri"/>
        </w:rPr>
        <w:t>lone-parents or</w:t>
      </w:r>
      <w:r w:rsidR="004F2670" w:rsidRPr="006D4AB3">
        <w:rPr>
          <w:rFonts w:ascii="Calibri" w:hAnsi="Calibri"/>
        </w:rPr>
        <w:t xml:space="preserve"> </w:t>
      </w:r>
      <w:r w:rsidR="00CC7D3C" w:rsidRPr="006D4AB3">
        <w:rPr>
          <w:rFonts w:ascii="Calibri" w:hAnsi="Calibri"/>
        </w:rPr>
        <w:t xml:space="preserve">carers. </w:t>
      </w:r>
      <w:r w:rsidR="0077101D" w:rsidRPr="006D4AB3">
        <w:rPr>
          <w:rFonts w:ascii="Calibri" w:hAnsi="Calibri"/>
        </w:rPr>
        <w:t>When disaggregated by ethnicity,</w:t>
      </w:r>
      <w:r w:rsidR="00120B76" w:rsidRPr="006D4AB3">
        <w:rPr>
          <w:rFonts w:ascii="Calibri" w:hAnsi="Calibri"/>
        </w:rPr>
        <w:t xml:space="preserve"> over</w:t>
      </w:r>
      <w:r w:rsidR="0077101D" w:rsidRPr="006D4AB3">
        <w:rPr>
          <w:rFonts w:ascii="Calibri" w:hAnsi="Calibri"/>
        </w:rPr>
        <w:t xml:space="preserve"> </w:t>
      </w:r>
      <w:r w:rsidR="0077101D" w:rsidRPr="006D4AB3">
        <w:rPr>
          <w:rFonts w:ascii="Calibri" w:hAnsi="Calibri"/>
          <w:b/>
        </w:rPr>
        <w:t xml:space="preserve">40% of households headed by a </w:t>
      </w:r>
      <w:r w:rsidR="00E13ABD" w:rsidRPr="006D4AB3">
        <w:rPr>
          <w:rFonts w:ascii="Calibri" w:hAnsi="Calibri"/>
          <w:b/>
        </w:rPr>
        <w:t>Black or M</w:t>
      </w:r>
      <w:r w:rsidR="0077101D" w:rsidRPr="006D4AB3">
        <w:rPr>
          <w:rFonts w:ascii="Calibri" w:hAnsi="Calibri"/>
          <w:b/>
        </w:rPr>
        <w:t>inority</w:t>
      </w:r>
      <w:r w:rsidR="00E13ABD" w:rsidRPr="006D4AB3">
        <w:rPr>
          <w:rFonts w:ascii="Calibri" w:hAnsi="Calibri"/>
          <w:b/>
        </w:rPr>
        <w:t xml:space="preserve"> E</w:t>
      </w:r>
      <w:r w:rsidR="00D533C3" w:rsidRPr="006D4AB3">
        <w:rPr>
          <w:rFonts w:ascii="Calibri" w:hAnsi="Calibri"/>
          <w:b/>
        </w:rPr>
        <w:t>thnic</w:t>
      </w:r>
      <w:r w:rsidR="0077101D" w:rsidRPr="006D4AB3">
        <w:rPr>
          <w:rFonts w:ascii="Calibri" w:hAnsi="Calibri"/>
          <w:b/>
        </w:rPr>
        <w:t xml:space="preserve"> </w:t>
      </w:r>
      <w:r w:rsidR="00D533C3" w:rsidRPr="006D4AB3">
        <w:rPr>
          <w:rFonts w:ascii="Calibri" w:hAnsi="Calibri"/>
          <w:b/>
        </w:rPr>
        <w:t>person</w:t>
      </w:r>
      <w:r w:rsidR="0077101D" w:rsidRPr="006D4AB3">
        <w:rPr>
          <w:rFonts w:ascii="Calibri" w:hAnsi="Calibri"/>
          <w:b/>
        </w:rPr>
        <w:t xml:space="preserve"> are below the poverty line</w:t>
      </w:r>
      <w:r w:rsidR="0077101D" w:rsidRPr="006D4AB3">
        <w:rPr>
          <w:rFonts w:ascii="Calibri" w:hAnsi="Calibri"/>
        </w:rPr>
        <w:t>, compared to 19%</w:t>
      </w:r>
      <w:r w:rsidR="0088102D" w:rsidRPr="006D4AB3">
        <w:rPr>
          <w:rFonts w:ascii="Calibri" w:hAnsi="Calibri"/>
        </w:rPr>
        <w:t xml:space="preserve"> </w:t>
      </w:r>
      <w:r w:rsidR="0077101D" w:rsidRPr="006D4AB3">
        <w:rPr>
          <w:rFonts w:ascii="Calibri" w:hAnsi="Calibri"/>
        </w:rPr>
        <w:t xml:space="preserve">headed by a </w:t>
      </w:r>
      <w:r w:rsidR="00E13ABD" w:rsidRPr="006D4AB3">
        <w:rPr>
          <w:rFonts w:ascii="Calibri" w:hAnsi="Calibri"/>
        </w:rPr>
        <w:t>W</w:t>
      </w:r>
      <w:r w:rsidR="0077101D" w:rsidRPr="006D4AB3">
        <w:rPr>
          <w:rFonts w:ascii="Calibri" w:hAnsi="Calibri"/>
        </w:rPr>
        <w:t xml:space="preserve">hite </w:t>
      </w:r>
      <w:r w:rsidR="00D533C3" w:rsidRPr="006D4AB3">
        <w:rPr>
          <w:rFonts w:ascii="Calibri" w:hAnsi="Calibri"/>
        </w:rPr>
        <w:t>B</w:t>
      </w:r>
      <w:r w:rsidR="0077101D" w:rsidRPr="006D4AB3">
        <w:rPr>
          <w:rFonts w:ascii="Calibri" w:hAnsi="Calibri"/>
        </w:rPr>
        <w:t xml:space="preserve">ritish </w:t>
      </w:r>
      <w:r w:rsidR="0002345F" w:rsidRPr="006D4AB3">
        <w:rPr>
          <w:rFonts w:ascii="Calibri" w:hAnsi="Calibri"/>
        </w:rPr>
        <w:t>person. These figures rise significantly when looking just at households headed by women, and are highest for BME women</w:t>
      </w:r>
      <w:r w:rsidR="00E13ABD" w:rsidRPr="006D4AB3">
        <w:rPr>
          <w:rFonts w:ascii="Calibri" w:hAnsi="Calibri"/>
        </w:rPr>
        <w:t>.</w:t>
      </w:r>
      <w:r w:rsidR="00E13ABD" w:rsidRPr="006D4AB3">
        <w:rPr>
          <w:rStyle w:val="EndnoteReference"/>
          <w:rFonts w:ascii="Calibri" w:hAnsi="Calibri"/>
        </w:rPr>
        <w:endnoteReference w:id="164"/>
      </w:r>
    </w:p>
    <w:p w14:paraId="7B55F794" w14:textId="77777777" w:rsidR="00506EFF" w:rsidRPr="006D4AB3" w:rsidRDefault="00506EFF" w:rsidP="001915FC">
      <w:pPr>
        <w:rPr>
          <w:rFonts w:ascii="Calibri" w:hAnsi="Calibri"/>
          <w:b/>
          <w:sz w:val="28"/>
        </w:rPr>
      </w:pPr>
      <w:r w:rsidRPr="006D4AB3">
        <w:rPr>
          <w:rFonts w:ascii="Calibri" w:hAnsi="Calibri"/>
          <w:b/>
          <w:sz w:val="28"/>
        </w:rPr>
        <w:t>Children</w:t>
      </w:r>
    </w:p>
    <w:p w14:paraId="2C07D94F" w14:textId="34F6C1F5" w:rsidR="001915FC" w:rsidRPr="006D4AB3" w:rsidRDefault="002133B6" w:rsidP="001915FC">
      <w:pPr>
        <w:ind w:left="720"/>
        <w:rPr>
          <w:rFonts w:ascii="Calibri" w:hAnsi="Calibri"/>
        </w:rPr>
      </w:pPr>
      <w:r w:rsidRPr="006D4AB3">
        <w:rPr>
          <w:rFonts w:ascii="Calibri" w:hAnsi="Calibri"/>
        </w:rPr>
        <w:t>The Chan</w:t>
      </w:r>
      <w:r w:rsidR="001915FC" w:rsidRPr="006D4AB3">
        <w:rPr>
          <w:rFonts w:ascii="Calibri" w:hAnsi="Calibri"/>
        </w:rPr>
        <w:t>cellor</w:t>
      </w:r>
      <w:r w:rsidRPr="006D4AB3">
        <w:rPr>
          <w:rFonts w:ascii="Calibri" w:hAnsi="Calibri"/>
        </w:rPr>
        <w:t xml:space="preserve"> </w:t>
      </w:r>
      <w:r w:rsidR="001915FC" w:rsidRPr="006D4AB3">
        <w:rPr>
          <w:rFonts w:ascii="Calibri" w:hAnsi="Calibri"/>
        </w:rPr>
        <w:t xml:space="preserve">many times referred to the </w:t>
      </w:r>
      <w:r w:rsidRPr="006D4AB3">
        <w:rPr>
          <w:rFonts w:ascii="Calibri" w:hAnsi="Calibri"/>
        </w:rPr>
        <w:t xml:space="preserve">2016 Spring Budget </w:t>
      </w:r>
      <w:r w:rsidR="001915FC" w:rsidRPr="006D4AB3">
        <w:rPr>
          <w:rFonts w:ascii="Calibri" w:hAnsi="Calibri"/>
        </w:rPr>
        <w:t>as ‘a Budget for the next generation’, sadly this i</w:t>
      </w:r>
      <w:r w:rsidRPr="006D4AB3">
        <w:rPr>
          <w:rFonts w:ascii="Calibri" w:hAnsi="Calibri"/>
        </w:rPr>
        <w:t>s not</w:t>
      </w:r>
      <w:r w:rsidR="001915FC" w:rsidRPr="006D4AB3">
        <w:rPr>
          <w:rFonts w:ascii="Calibri" w:hAnsi="Calibri"/>
        </w:rPr>
        <w:t xml:space="preserve"> the case for </w:t>
      </w:r>
      <w:r w:rsidR="00A3171F" w:rsidRPr="006D4AB3">
        <w:rPr>
          <w:rFonts w:ascii="Calibri" w:hAnsi="Calibri"/>
          <w:b/>
        </w:rPr>
        <w:t>4.1</w:t>
      </w:r>
      <w:r w:rsidR="00E901FF">
        <w:rPr>
          <w:rFonts w:ascii="Calibri" w:hAnsi="Calibri"/>
          <w:b/>
        </w:rPr>
        <w:t xml:space="preserve"> </w:t>
      </w:r>
      <w:r w:rsidR="00A3171F" w:rsidRPr="006D4AB3">
        <w:rPr>
          <w:rFonts w:ascii="Calibri" w:hAnsi="Calibri"/>
          <w:b/>
        </w:rPr>
        <w:t>million</w:t>
      </w:r>
      <w:r w:rsidR="001915FC" w:rsidRPr="006D4AB3">
        <w:rPr>
          <w:rFonts w:ascii="Calibri" w:hAnsi="Calibri"/>
          <w:b/>
        </w:rPr>
        <w:t xml:space="preserve"> children</w:t>
      </w:r>
      <w:r w:rsidR="00A3171F" w:rsidRPr="006D4AB3">
        <w:rPr>
          <w:rFonts w:ascii="Calibri" w:hAnsi="Calibri"/>
          <w:b/>
        </w:rPr>
        <w:t xml:space="preserve"> </w:t>
      </w:r>
      <w:r w:rsidR="00B16C0E">
        <w:rPr>
          <w:rFonts w:ascii="Calibri" w:hAnsi="Calibri"/>
          <w:b/>
        </w:rPr>
        <w:t xml:space="preserve">(28%) </w:t>
      </w:r>
      <w:r w:rsidR="00A3171F" w:rsidRPr="006D4AB3">
        <w:rPr>
          <w:rFonts w:ascii="Calibri" w:hAnsi="Calibri"/>
          <w:b/>
        </w:rPr>
        <w:t xml:space="preserve">in the UK </w:t>
      </w:r>
      <w:r w:rsidR="001915FC" w:rsidRPr="006D4AB3">
        <w:rPr>
          <w:rFonts w:ascii="Calibri" w:hAnsi="Calibri"/>
          <w:b/>
        </w:rPr>
        <w:t>living below the</w:t>
      </w:r>
      <w:r w:rsidR="00A3171F" w:rsidRPr="006D4AB3">
        <w:rPr>
          <w:rFonts w:ascii="Calibri" w:hAnsi="Calibri"/>
          <w:b/>
        </w:rPr>
        <w:t xml:space="preserve"> absolute</w:t>
      </w:r>
      <w:r w:rsidR="001915FC" w:rsidRPr="006D4AB3">
        <w:rPr>
          <w:rFonts w:ascii="Calibri" w:hAnsi="Calibri"/>
          <w:b/>
        </w:rPr>
        <w:t xml:space="preserve"> poverty line</w:t>
      </w:r>
      <w:r w:rsidR="001915FC" w:rsidRPr="006D4AB3">
        <w:rPr>
          <w:rFonts w:ascii="Calibri" w:hAnsi="Calibri"/>
        </w:rPr>
        <w:t>.</w:t>
      </w:r>
      <w:r w:rsidR="00A3171F" w:rsidRPr="006D4AB3">
        <w:rPr>
          <w:rStyle w:val="EndnoteReference"/>
          <w:rFonts w:ascii="Calibri" w:hAnsi="Calibri"/>
        </w:rPr>
        <w:endnoteReference w:id="165"/>
      </w:r>
      <w:r w:rsidR="001915FC" w:rsidRPr="006D4AB3">
        <w:rPr>
          <w:rFonts w:ascii="Calibri" w:hAnsi="Calibri"/>
        </w:rPr>
        <w:t xml:space="preserve"> The UK Government has done </w:t>
      </w:r>
      <w:r w:rsidRPr="006D4AB3">
        <w:rPr>
          <w:rFonts w:ascii="Calibri" w:hAnsi="Calibri"/>
        </w:rPr>
        <w:t>little</w:t>
      </w:r>
      <w:r w:rsidR="001915FC" w:rsidRPr="006D4AB3">
        <w:rPr>
          <w:rFonts w:ascii="Calibri" w:hAnsi="Calibri"/>
        </w:rPr>
        <w:t xml:space="preserve"> to reverse the trend or the impact of growing up in a </w:t>
      </w:r>
      <w:r w:rsidR="008B7237" w:rsidRPr="006D4AB3">
        <w:rPr>
          <w:rFonts w:ascii="Calibri" w:hAnsi="Calibri"/>
        </w:rPr>
        <w:t>low-income</w:t>
      </w:r>
      <w:r w:rsidR="001915FC" w:rsidRPr="006D4AB3">
        <w:rPr>
          <w:rFonts w:ascii="Calibri" w:hAnsi="Calibri"/>
        </w:rPr>
        <w:t xml:space="preserve"> household on children’s wellbeing, and have in many ways exacerbated the problem.</w:t>
      </w:r>
    </w:p>
    <w:p w14:paraId="44287EF2" w14:textId="5199E8F1" w:rsidR="007971A5" w:rsidRPr="006D4AB3" w:rsidRDefault="001915FC" w:rsidP="007971A5">
      <w:pPr>
        <w:ind w:left="720"/>
        <w:rPr>
          <w:rFonts w:ascii="Calibri" w:hAnsi="Calibri"/>
        </w:rPr>
      </w:pPr>
      <w:r w:rsidRPr="006D4AB3">
        <w:rPr>
          <w:rFonts w:ascii="Calibri" w:hAnsi="Calibri"/>
        </w:rPr>
        <w:t>Some aspects of social security reform were known to have a disp</w:t>
      </w:r>
      <w:r w:rsidR="00657B56" w:rsidRPr="006D4AB3">
        <w:rPr>
          <w:rFonts w:ascii="Calibri" w:hAnsi="Calibri"/>
        </w:rPr>
        <w:t>roportionate impact on</w:t>
      </w:r>
      <w:r w:rsidRPr="006D4AB3">
        <w:rPr>
          <w:rFonts w:ascii="Calibri" w:hAnsi="Calibri"/>
        </w:rPr>
        <w:t xml:space="preserve"> children, such as that the inclusion of child benefits and tax credits would mean that </w:t>
      </w:r>
      <w:r w:rsidRPr="006D4AB3">
        <w:rPr>
          <w:rFonts w:ascii="Calibri" w:hAnsi="Calibri"/>
          <w:b/>
        </w:rPr>
        <w:t>94% of households impacted by the benefit cap have child dependents</w:t>
      </w:r>
      <w:r w:rsidRPr="006D4AB3">
        <w:rPr>
          <w:rFonts w:ascii="Calibri" w:hAnsi="Calibri"/>
        </w:rPr>
        <w:t>.</w:t>
      </w:r>
      <w:r w:rsidRPr="006D4AB3">
        <w:rPr>
          <w:rStyle w:val="EndnoteReference"/>
          <w:rFonts w:ascii="Calibri" w:hAnsi="Calibri"/>
        </w:rPr>
        <w:endnoteReference w:id="166"/>
      </w:r>
      <w:r w:rsidRPr="006D4AB3">
        <w:rPr>
          <w:rFonts w:ascii="Calibri" w:hAnsi="Calibri"/>
        </w:rPr>
        <w:t xml:space="preserve"> </w:t>
      </w:r>
      <w:r w:rsidR="007971A5" w:rsidRPr="006D4AB3">
        <w:rPr>
          <w:rFonts w:ascii="Calibri" w:hAnsi="Calibri"/>
        </w:rPr>
        <w:t xml:space="preserve">The cumulative impact of social security reform has also disproportionately impacted on households with dependent children, especially </w:t>
      </w:r>
      <w:r w:rsidR="007971A5" w:rsidRPr="006D4AB3">
        <w:rPr>
          <w:rFonts w:ascii="Calibri" w:hAnsi="Calibri"/>
          <w:b/>
        </w:rPr>
        <w:t>lone parents who are estimated to lose around £1800 a year</w:t>
      </w:r>
      <w:r w:rsidR="007971A5" w:rsidRPr="006D4AB3">
        <w:rPr>
          <w:rFonts w:ascii="Calibri" w:hAnsi="Calibri"/>
        </w:rPr>
        <w:t>.</w:t>
      </w:r>
      <w:r w:rsidR="007971A5" w:rsidRPr="006D4AB3">
        <w:rPr>
          <w:rStyle w:val="EndnoteReference"/>
          <w:rFonts w:ascii="Calibri" w:hAnsi="Calibri"/>
        </w:rPr>
        <w:endnoteReference w:id="167"/>
      </w:r>
      <w:r w:rsidR="008B7237">
        <w:rPr>
          <w:rFonts w:ascii="Calibri" w:hAnsi="Calibri"/>
        </w:rPr>
        <w:t xml:space="preserve"> </w:t>
      </w:r>
      <w:r w:rsidR="008B7237" w:rsidRPr="008B7237">
        <w:rPr>
          <w:rFonts w:ascii="Calibri" w:hAnsi="Calibri"/>
          <w:b/>
        </w:rPr>
        <w:t xml:space="preserve">71% of lone-parent households have less </w:t>
      </w:r>
      <w:r w:rsidR="008B7237">
        <w:rPr>
          <w:rFonts w:ascii="Calibri" w:hAnsi="Calibri"/>
          <w:b/>
        </w:rPr>
        <w:t xml:space="preserve">income </w:t>
      </w:r>
      <w:r w:rsidR="008B7237" w:rsidRPr="008B7237">
        <w:rPr>
          <w:rFonts w:ascii="Calibri" w:hAnsi="Calibri"/>
          <w:b/>
        </w:rPr>
        <w:t>than the Minimum Income Standard</w:t>
      </w:r>
      <w:r w:rsidR="008B7237">
        <w:rPr>
          <w:rFonts w:ascii="Calibri" w:hAnsi="Calibri"/>
        </w:rPr>
        <w:t>.</w:t>
      </w:r>
      <w:r w:rsidR="008B7237">
        <w:rPr>
          <w:rStyle w:val="EndnoteReference"/>
          <w:rFonts w:ascii="Calibri" w:hAnsi="Calibri"/>
        </w:rPr>
        <w:endnoteReference w:id="168"/>
      </w:r>
    </w:p>
    <w:p w14:paraId="609ADC2F" w14:textId="77777777" w:rsidR="007971A5" w:rsidRPr="006D4AB3" w:rsidRDefault="00A04169" w:rsidP="001915FC">
      <w:pPr>
        <w:ind w:left="720"/>
        <w:rPr>
          <w:rFonts w:ascii="Calibri" w:hAnsi="Calibri"/>
        </w:rPr>
      </w:pPr>
      <w:r w:rsidRPr="006D4AB3">
        <w:rPr>
          <w:rFonts w:ascii="Calibri" w:hAnsi="Calibri"/>
        </w:rPr>
        <w:t>The UK Government’s mantra o</w:t>
      </w:r>
      <w:r w:rsidR="00E46582" w:rsidRPr="006D4AB3">
        <w:rPr>
          <w:rFonts w:ascii="Calibri" w:hAnsi="Calibri"/>
        </w:rPr>
        <w:t>f protecting</w:t>
      </w:r>
      <w:r w:rsidR="009A305C" w:rsidRPr="006D4AB3">
        <w:rPr>
          <w:rFonts w:ascii="Calibri" w:hAnsi="Calibri"/>
        </w:rPr>
        <w:t xml:space="preserve"> ‘hardworking families’ and incentivising work as</w:t>
      </w:r>
      <w:r w:rsidR="00E46582" w:rsidRPr="006D4AB3">
        <w:rPr>
          <w:rFonts w:ascii="Calibri" w:hAnsi="Calibri"/>
        </w:rPr>
        <w:t xml:space="preserve"> the way out of poverty stigmatises people out of work or unable to work, and also fundamentally overlooks the fact that for many people work simply does not pay enough – </w:t>
      </w:r>
      <w:r w:rsidR="00E46582" w:rsidRPr="006D4AB3">
        <w:rPr>
          <w:rFonts w:ascii="Calibri" w:hAnsi="Calibri"/>
          <w:b/>
        </w:rPr>
        <w:t>nearly two-thirds of children living in poverty are in working households</w:t>
      </w:r>
      <w:r w:rsidR="00E46582" w:rsidRPr="006D4AB3">
        <w:rPr>
          <w:rFonts w:ascii="Calibri" w:hAnsi="Calibri"/>
        </w:rPr>
        <w:t>.</w:t>
      </w:r>
      <w:r w:rsidR="00E46582" w:rsidRPr="006D4AB3">
        <w:rPr>
          <w:rStyle w:val="EndnoteReference"/>
          <w:rFonts w:ascii="Calibri" w:hAnsi="Calibri"/>
        </w:rPr>
        <w:endnoteReference w:id="169"/>
      </w:r>
      <w:r w:rsidR="00D22FA8" w:rsidRPr="006D4AB3">
        <w:rPr>
          <w:rFonts w:ascii="Calibri" w:hAnsi="Calibri"/>
        </w:rPr>
        <w:t xml:space="preserve"> Y</w:t>
      </w:r>
      <w:r w:rsidR="007971A5" w:rsidRPr="006D4AB3">
        <w:rPr>
          <w:rFonts w:ascii="Calibri" w:hAnsi="Calibri"/>
        </w:rPr>
        <w:t xml:space="preserve">et the UK Government has undermined the framework for measuring and reducing child poverty by abolishing the income poverty related targets established by the Child Poverty Act 2010 (now Life Chances Act 2010). Replacing those measures and targets with ones on worklessness and </w:t>
      </w:r>
      <w:r w:rsidR="00D22FA8" w:rsidRPr="006D4AB3">
        <w:rPr>
          <w:rFonts w:ascii="Calibri" w:hAnsi="Calibri"/>
        </w:rPr>
        <w:t xml:space="preserve">educational attainment also </w:t>
      </w:r>
      <w:r w:rsidR="009A305C" w:rsidRPr="006D4AB3">
        <w:rPr>
          <w:rFonts w:ascii="Calibri" w:hAnsi="Calibri"/>
        </w:rPr>
        <w:t xml:space="preserve">obscured the reality that the government </w:t>
      </w:r>
      <w:r w:rsidR="009A305C" w:rsidRPr="006D4AB3">
        <w:rPr>
          <w:rFonts w:ascii="Calibri" w:hAnsi="Calibri"/>
          <w:b/>
        </w:rPr>
        <w:t>were widely predicted to fail to meet the previous targets</w:t>
      </w:r>
      <w:r w:rsidR="009A305C" w:rsidRPr="006D4AB3">
        <w:rPr>
          <w:rFonts w:ascii="Calibri" w:hAnsi="Calibri"/>
        </w:rPr>
        <w:t>.</w:t>
      </w:r>
      <w:r w:rsidR="009A305C" w:rsidRPr="006D4AB3">
        <w:rPr>
          <w:rStyle w:val="EndnoteReference"/>
          <w:rFonts w:ascii="Calibri" w:hAnsi="Calibri"/>
        </w:rPr>
        <w:endnoteReference w:id="170"/>
      </w:r>
    </w:p>
    <w:p w14:paraId="2FFDE1D9" w14:textId="77777777" w:rsidR="00A04169" w:rsidRPr="006D4AB3" w:rsidRDefault="009A305C" w:rsidP="001915FC">
      <w:pPr>
        <w:ind w:left="720"/>
        <w:rPr>
          <w:rFonts w:ascii="Calibri" w:hAnsi="Calibri"/>
        </w:rPr>
      </w:pPr>
      <w:r w:rsidRPr="006D4AB3">
        <w:rPr>
          <w:rFonts w:ascii="Calibri" w:hAnsi="Calibri"/>
        </w:rPr>
        <w:t xml:space="preserve">Children in poverty, living in food insecure households, are more likely to be solitary and struggle to make friends, more likely to have a lower educational attainment, more likely to internalise coping mechanisms </w:t>
      </w:r>
      <w:r w:rsidR="00112925" w:rsidRPr="006D4AB3">
        <w:rPr>
          <w:rFonts w:ascii="Calibri" w:hAnsi="Calibri"/>
        </w:rPr>
        <w:t>such as skipping meals</w:t>
      </w:r>
      <w:r w:rsidRPr="006D4AB3">
        <w:rPr>
          <w:rFonts w:ascii="Calibri" w:hAnsi="Calibri"/>
        </w:rPr>
        <w:t>, and more likely to develo</w:t>
      </w:r>
      <w:r w:rsidR="007262A2" w:rsidRPr="006D4AB3">
        <w:rPr>
          <w:rFonts w:ascii="Calibri" w:hAnsi="Calibri"/>
        </w:rPr>
        <w:t>p</w:t>
      </w:r>
      <w:r w:rsidRPr="006D4AB3">
        <w:rPr>
          <w:rFonts w:ascii="Calibri" w:hAnsi="Calibri"/>
        </w:rPr>
        <w:t xml:space="preserve"> illness that impacts on adult quality of life.</w:t>
      </w:r>
      <w:r w:rsidR="00B9098F" w:rsidRPr="006D4AB3">
        <w:rPr>
          <w:rStyle w:val="EndnoteReference"/>
          <w:rFonts w:ascii="Calibri" w:hAnsi="Calibri"/>
        </w:rPr>
        <w:endnoteReference w:id="171"/>
      </w:r>
      <w:r w:rsidRPr="006D4AB3">
        <w:rPr>
          <w:rFonts w:ascii="Calibri" w:hAnsi="Calibri"/>
        </w:rPr>
        <w:t xml:space="preserve"> Children’s needs have not been adequately considered, and there have been few meaningful attempts to include children in the decision-making process of social security reform.</w:t>
      </w:r>
    </w:p>
    <w:p w14:paraId="39CE1574" w14:textId="733C7ABC" w:rsidR="00EA11C3" w:rsidRPr="006D4AB3" w:rsidRDefault="00EA11C3" w:rsidP="007262A2">
      <w:pPr>
        <w:ind w:left="720"/>
        <w:rPr>
          <w:rFonts w:ascii="Calibri" w:hAnsi="Calibri"/>
        </w:rPr>
      </w:pPr>
      <w:r w:rsidRPr="006D4AB3">
        <w:rPr>
          <w:rFonts w:ascii="Calibri" w:hAnsi="Calibri"/>
        </w:rPr>
        <w:t xml:space="preserve">Improvements to the nutritional </w:t>
      </w:r>
      <w:r w:rsidR="007262A2" w:rsidRPr="006D4AB3">
        <w:rPr>
          <w:rFonts w:ascii="Calibri" w:hAnsi="Calibri"/>
        </w:rPr>
        <w:t xml:space="preserve">balance of food served in schools, and </w:t>
      </w:r>
      <w:r w:rsidRPr="006D4AB3">
        <w:rPr>
          <w:rFonts w:ascii="Calibri" w:hAnsi="Calibri"/>
        </w:rPr>
        <w:t>the integration of food across the curriculum and practice using wh</w:t>
      </w:r>
      <w:r w:rsidR="007262A2" w:rsidRPr="006D4AB3">
        <w:rPr>
          <w:rFonts w:ascii="Calibri" w:hAnsi="Calibri"/>
        </w:rPr>
        <w:t>ole-school food approaches</w:t>
      </w:r>
      <w:r w:rsidRPr="006D4AB3">
        <w:rPr>
          <w:rFonts w:ascii="Calibri" w:hAnsi="Calibri"/>
        </w:rPr>
        <w:t xml:space="preserve"> have had notable effects,</w:t>
      </w:r>
      <w:r w:rsidR="007262A2" w:rsidRPr="006D4AB3">
        <w:rPr>
          <w:rFonts w:ascii="Calibri" w:hAnsi="Calibri"/>
        </w:rPr>
        <w:t xml:space="preserve"> </w:t>
      </w:r>
      <w:r w:rsidR="00112925" w:rsidRPr="006D4AB3">
        <w:rPr>
          <w:rFonts w:ascii="Calibri" w:hAnsi="Calibri"/>
        </w:rPr>
        <w:t>h</w:t>
      </w:r>
      <w:r w:rsidR="007262A2" w:rsidRPr="006D4AB3">
        <w:rPr>
          <w:rFonts w:ascii="Calibri" w:hAnsi="Calibri"/>
        </w:rPr>
        <w:t xml:space="preserve">owever there are growing challenges beyond the school gate. </w:t>
      </w:r>
      <w:r w:rsidR="00112925" w:rsidRPr="006D4AB3">
        <w:rPr>
          <w:rFonts w:ascii="Calibri" w:hAnsi="Calibri"/>
          <w:b/>
        </w:rPr>
        <w:t>73% of low-income families struggle t</w:t>
      </w:r>
      <w:r w:rsidRPr="006D4AB3">
        <w:rPr>
          <w:rFonts w:ascii="Calibri" w:hAnsi="Calibri"/>
          <w:b/>
        </w:rPr>
        <w:t>o afford to feed children outside of term-time</w:t>
      </w:r>
      <w:r w:rsidR="00112925" w:rsidRPr="006D4AB3">
        <w:rPr>
          <w:rFonts w:ascii="Calibri" w:hAnsi="Calibri"/>
        </w:rPr>
        <w:t>, during which food</w:t>
      </w:r>
      <w:r w:rsidR="008B7237">
        <w:rPr>
          <w:rFonts w:ascii="Calibri" w:hAnsi="Calibri"/>
        </w:rPr>
        <w:t xml:space="preserve"> </w:t>
      </w:r>
      <w:r w:rsidR="00112925" w:rsidRPr="006D4AB3">
        <w:rPr>
          <w:rFonts w:ascii="Calibri" w:hAnsi="Calibri"/>
        </w:rPr>
        <w:t>bank referrals increase by 21%.</w:t>
      </w:r>
      <w:r w:rsidR="00112925" w:rsidRPr="006D4AB3">
        <w:rPr>
          <w:rStyle w:val="EndnoteReference"/>
          <w:rFonts w:ascii="Calibri" w:hAnsi="Calibri"/>
        </w:rPr>
        <w:endnoteReference w:id="172"/>
      </w:r>
    </w:p>
    <w:p w14:paraId="3219D1E4" w14:textId="08600F84" w:rsidR="00506EFF" w:rsidRPr="006D4AB3" w:rsidRDefault="00B036A5" w:rsidP="002B67F4">
      <w:pPr>
        <w:rPr>
          <w:rFonts w:ascii="Calibri" w:hAnsi="Calibri"/>
          <w:b/>
          <w:sz w:val="28"/>
        </w:rPr>
      </w:pPr>
      <w:r>
        <w:rPr>
          <w:rFonts w:ascii="Calibri" w:hAnsi="Calibri"/>
          <w:b/>
          <w:sz w:val="28"/>
        </w:rPr>
        <w:lastRenderedPageBreak/>
        <w:t>Disabled P</w:t>
      </w:r>
      <w:r w:rsidR="00A948BE" w:rsidRPr="006D4AB3">
        <w:rPr>
          <w:rFonts w:ascii="Calibri" w:hAnsi="Calibri"/>
          <w:b/>
          <w:sz w:val="28"/>
        </w:rPr>
        <w:t>eople</w:t>
      </w:r>
      <w:r w:rsidR="002133B6" w:rsidRPr="006D4AB3">
        <w:rPr>
          <w:rFonts w:ascii="Calibri" w:hAnsi="Calibri"/>
          <w:i/>
          <w:sz w:val="20"/>
        </w:rPr>
        <w:tab/>
      </w:r>
      <w:r w:rsidR="002133B6" w:rsidRPr="006D4AB3">
        <w:rPr>
          <w:rFonts w:ascii="Calibri" w:hAnsi="Calibri"/>
          <w:i/>
          <w:sz w:val="20"/>
        </w:rPr>
        <w:tab/>
        <w:t>- see Part 2, especially pages 5-9 for further analysis</w:t>
      </w:r>
    </w:p>
    <w:p w14:paraId="2395EDFF" w14:textId="46F2BBB5" w:rsidR="005C0F44" w:rsidRPr="006D4AB3" w:rsidRDefault="005C0F44" w:rsidP="005C0F44">
      <w:pPr>
        <w:ind w:left="720"/>
        <w:rPr>
          <w:rFonts w:ascii="Calibri" w:hAnsi="Calibri"/>
        </w:rPr>
      </w:pPr>
      <w:r w:rsidRPr="006D4AB3">
        <w:rPr>
          <w:rFonts w:ascii="Calibri" w:hAnsi="Calibri"/>
        </w:rPr>
        <w:t>‘Disabled people currently pay a financial penalty on life’ – on average disability related expenses add £550 a month to living costs, yet the social security framework designed to support with these costs has become smaller and harder to access.</w:t>
      </w:r>
      <w:r w:rsidRPr="006D4AB3">
        <w:rPr>
          <w:rStyle w:val="EndnoteReference"/>
          <w:rFonts w:ascii="Calibri" w:hAnsi="Calibri"/>
        </w:rPr>
        <w:endnoteReference w:id="173"/>
      </w:r>
      <w:r w:rsidRPr="006D4AB3">
        <w:rPr>
          <w:rFonts w:ascii="Calibri" w:hAnsi="Calibri"/>
        </w:rPr>
        <w:t xml:space="preserve"> Disabled people also face a number of structural barriers to </w:t>
      </w:r>
      <w:r w:rsidR="00E75066" w:rsidRPr="006D4AB3">
        <w:rPr>
          <w:rFonts w:ascii="Calibri" w:hAnsi="Calibri"/>
        </w:rPr>
        <w:t>employment that</w:t>
      </w:r>
      <w:r w:rsidRPr="006D4AB3">
        <w:rPr>
          <w:rFonts w:ascii="Calibri" w:hAnsi="Calibri"/>
        </w:rPr>
        <w:t xml:space="preserve"> often result in significantly lower pay.</w:t>
      </w:r>
      <w:r w:rsidRPr="006D4AB3">
        <w:rPr>
          <w:rStyle w:val="EndnoteReference"/>
          <w:rFonts w:ascii="Calibri" w:hAnsi="Calibri"/>
        </w:rPr>
        <w:endnoteReference w:id="174"/>
      </w:r>
      <w:r w:rsidRPr="006D4AB3">
        <w:rPr>
          <w:rFonts w:ascii="Calibri" w:hAnsi="Calibri"/>
        </w:rPr>
        <w:t xml:space="preserve"> The combination of these factors has resulted in a large number of disabled people living in poverty and food insecurity. </w:t>
      </w:r>
      <w:r w:rsidRPr="006D4AB3">
        <w:rPr>
          <w:rFonts w:ascii="Calibri" w:hAnsi="Calibri"/>
        </w:rPr>
        <w:br/>
      </w:r>
      <w:r w:rsidR="001071A5">
        <w:rPr>
          <w:rFonts w:ascii="Calibri" w:hAnsi="Calibri"/>
          <w:b/>
        </w:rPr>
        <w:t xml:space="preserve">27% of </w:t>
      </w:r>
      <w:r w:rsidR="00B16C0E">
        <w:rPr>
          <w:rFonts w:ascii="Calibri" w:hAnsi="Calibri"/>
          <w:b/>
        </w:rPr>
        <w:t xml:space="preserve">disabled </w:t>
      </w:r>
      <w:r w:rsidR="001071A5">
        <w:rPr>
          <w:rFonts w:ascii="Calibri" w:hAnsi="Calibri"/>
          <w:b/>
        </w:rPr>
        <w:t>people live below t</w:t>
      </w:r>
      <w:r w:rsidRPr="006D4AB3">
        <w:rPr>
          <w:rFonts w:ascii="Calibri" w:hAnsi="Calibri"/>
          <w:b/>
        </w:rPr>
        <w:t xml:space="preserve">he </w:t>
      </w:r>
      <w:r w:rsidR="001071A5">
        <w:rPr>
          <w:rFonts w:ascii="Calibri" w:hAnsi="Calibri"/>
          <w:b/>
        </w:rPr>
        <w:t xml:space="preserve">relative </w:t>
      </w:r>
      <w:r w:rsidRPr="006D4AB3">
        <w:rPr>
          <w:rFonts w:ascii="Calibri" w:hAnsi="Calibri"/>
          <w:b/>
        </w:rPr>
        <w:t>poverty line</w:t>
      </w:r>
      <w:r w:rsidR="00B16C0E">
        <w:rPr>
          <w:rFonts w:ascii="Calibri" w:hAnsi="Calibri"/>
          <w:b/>
        </w:rPr>
        <w:t xml:space="preserve"> </w:t>
      </w:r>
      <w:r w:rsidR="001071A5">
        <w:rPr>
          <w:rFonts w:ascii="Calibri" w:hAnsi="Calibri"/>
          <w:b/>
        </w:rPr>
        <w:t>and 30% below the absolute poverty line</w:t>
      </w:r>
      <w:r w:rsidRPr="006D4AB3">
        <w:rPr>
          <w:rFonts w:ascii="Calibri" w:hAnsi="Calibri"/>
        </w:rPr>
        <w:t>.</w:t>
      </w:r>
      <w:r w:rsidRPr="006D4AB3">
        <w:rPr>
          <w:rStyle w:val="EndnoteReference"/>
          <w:rFonts w:ascii="Calibri" w:hAnsi="Calibri"/>
        </w:rPr>
        <w:endnoteReference w:id="175"/>
      </w:r>
      <w:r w:rsidR="00995967" w:rsidRPr="006D4AB3">
        <w:rPr>
          <w:rFonts w:ascii="Calibri" w:hAnsi="Calibri"/>
        </w:rPr>
        <w:t xml:space="preserve"> </w:t>
      </w:r>
      <w:r w:rsidR="00577343" w:rsidRPr="006D4AB3">
        <w:rPr>
          <w:rFonts w:ascii="Calibri" w:hAnsi="Calibri"/>
        </w:rPr>
        <w:t>T</w:t>
      </w:r>
      <w:r w:rsidR="00B16C0E">
        <w:rPr>
          <w:rFonts w:ascii="Calibri" w:hAnsi="Calibri"/>
        </w:rPr>
        <w:t>here are now 5</w:t>
      </w:r>
      <w:r w:rsidR="00995967" w:rsidRPr="006D4AB3">
        <w:rPr>
          <w:rFonts w:ascii="Calibri" w:hAnsi="Calibri"/>
        </w:rPr>
        <w:t>00,000 more disabled people living below the poverty line than in 2010.</w:t>
      </w:r>
      <w:r w:rsidR="00995967" w:rsidRPr="006D4AB3">
        <w:rPr>
          <w:rStyle w:val="EndnoteReference"/>
          <w:rFonts w:ascii="Calibri" w:hAnsi="Calibri"/>
        </w:rPr>
        <w:endnoteReference w:id="176"/>
      </w:r>
      <w:r w:rsidR="00995967" w:rsidRPr="006D4AB3">
        <w:rPr>
          <w:rFonts w:ascii="Calibri" w:hAnsi="Calibri"/>
        </w:rPr>
        <w:t xml:space="preserve">  </w:t>
      </w:r>
    </w:p>
    <w:p w14:paraId="49D82521" w14:textId="77777777" w:rsidR="00DF4823" w:rsidRPr="006D4AB3" w:rsidRDefault="00995967" w:rsidP="006D17D4">
      <w:pPr>
        <w:ind w:left="720"/>
        <w:rPr>
          <w:rFonts w:ascii="Calibri" w:hAnsi="Calibri"/>
        </w:rPr>
      </w:pPr>
      <w:r w:rsidRPr="006D4AB3">
        <w:rPr>
          <w:rFonts w:ascii="Calibri" w:hAnsi="Calibri"/>
        </w:rPr>
        <w:t>Placing d</w:t>
      </w:r>
      <w:r w:rsidR="00626E91" w:rsidRPr="006D4AB3">
        <w:rPr>
          <w:rFonts w:ascii="Calibri" w:hAnsi="Calibri"/>
        </w:rPr>
        <w:t xml:space="preserve">isability benefits within the UK Government’s self-imposed cap on </w:t>
      </w:r>
      <w:r w:rsidRPr="006D4AB3">
        <w:rPr>
          <w:rFonts w:ascii="Calibri" w:hAnsi="Calibri"/>
        </w:rPr>
        <w:t xml:space="preserve">welfare spending </w:t>
      </w:r>
      <w:r w:rsidR="006D17D4" w:rsidRPr="006D4AB3">
        <w:rPr>
          <w:rFonts w:ascii="Calibri" w:hAnsi="Calibri"/>
        </w:rPr>
        <w:t>creates</w:t>
      </w:r>
      <w:r w:rsidRPr="006D4AB3">
        <w:rPr>
          <w:rFonts w:ascii="Calibri" w:hAnsi="Calibri"/>
        </w:rPr>
        <w:t xml:space="preserve"> </w:t>
      </w:r>
      <w:r w:rsidR="00626E91" w:rsidRPr="006D4AB3">
        <w:rPr>
          <w:rFonts w:ascii="Calibri" w:hAnsi="Calibri"/>
        </w:rPr>
        <w:t>co</w:t>
      </w:r>
      <w:r w:rsidRPr="006D4AB3">
        <w:rPr>
          <w:rFonts w:ascii="Calibri" w:hAnsi="Calibri"/>
        </w:rPr>
        <w:t xml:space="preserve">nstant cost reduction pressures, encouraging reforms that are arbitrary and penalise disabled people </w:t>
      </w:r>
      <w:r w:rsidR="00B04230" w:rsidRPr="006D4AB3">
        <w:rPr>
          <w:rFonts w:ascii="Calibri" w:hAnsi="Calibri"/>
        </w:rPr>
        <w:t>requiring</w:t>
      </w:r>
      <w:r w:rsidRPr="006D4AB3">
        <w:rPr>
          <w:rFonts w:ascii="Calibri" w:hAnsi="Calibri"/>
        </w:rPr>
        <w:t xml:space="preserve"> </w:t>
      </w:r>
      <w:r w:rsidR="006D17D4" w:rsidRPr="006D4AB3">
        <w:rPr>
          <w:rFonts w:ascii="Calibri" w:hAnsi="Calibri"/>
        </w:rPr>
        <w:t>financial</w:t>
      </w:r>
      <w:r w:rsidRPr="006D4AB3">
        <w:rPr>
          <w:rFonts w:ascii="Calibri" w:hAnsi="Calibri"/>
        </w:rPr>
        <w:t xml:space="preserve"> support</w:t>
      </w:r>
      <w:r w:rsidR="00DC3E00" w:rsidRPr="006D4AB3">
        <w:rPr>
          <w:rFonts w:ascii="Calibri" w:hAnsi="Calibri"/>
        </w:rPr>
        <w:t xml:space="preserve"> </w:t>
      </w:r>
      <w:r w:rsidRPr="006D4AB3">
        <w:rPr>
          <w:rFonts w:ascii="Calibri" w:hAnsi="Calibri"/>
        </w:rPr>
        <w:t>to live a life of dignity.</w:t>
      </w:r>
      <w:r w:rsidR="006D17D4" w:rsidRPr="006D4AB3">
        <w:rPr>
          <w:rFonts w:ascii="Calibri" w:hAnsi="Calibri"/>
        </w:rPr>
        <w:t xml:space="preserve"> </w:t>
      </w:r>
      <w:r w:rsidR="00DF4823" w:rsidRPr="006D4AB3">
        <w:rPr>
          <w:rFonts w:ascii="Calibri" w:hAnsi="Calibri"/>
        </w:rPr>
        <w:t xml:space="preserve">The </w:t>
      </w:r>
      <w:r w:rsidR="00B04230" w:rsidRPr="006D4AB3">
        <w:rPr>
          <w:rFonts w:ascii="Calibri" w:hAnsi="Calibri"/>
        </w:rPr>
        <w:t>government’s</w:t>
      </w:r>
      <w:r w:rsidR="00DF4823" w:rsidRPr="006D4AB3">
        <w:rPr>
          <w:rFonts w:ascii="Calibri" w:hAnsi="Calibri"/>
        </w:rPr>
        <w:t xml:space="preserve"> reform </w:t>
      </w:r>
      <w:r w:rsidR="00B04230" w:rsidRPr="006D4AB3">
        <w:rPr>
          <w:rFonts w:ascii="Calibri" w:hAnsi="Calibri"/>
        </w:rPr>
        <w:t>of</w:t>
      </w:r>
      <w:r w:rsidR="00DF4823" w:rsidRPr="006D4AB3">
        <w:rPr>
          <w:rFonts w:ascii="Calibri" w:hAnsi="Calibri"/>
        </w:rPr>
        <w:t xml:space="preserve"> disability benefits </w:t>
      </w:r>
      <w:r w:rsidR="00B04230" w:rsidRPr="006D4AB3">
        <w:rPr>
          <w:rFonts w:ascii="Calibri" w:hAnsi="Calibri"/>
        </w:rPr>
        <w:t>has</w:t>
      </w:r>
      <w:r w:rsidR="00DF4823" w:rsidRPr="006D4AB3">
        <w:rPr>
          <w:rFonts w:ascii="Calibri" w:hAnsi="Calibri"/>
        </w:rPr>
        <w:t xml:space="preserve"> left people </w:t>
      </w:r>
      <w:r w:rsidR="00DF4823" w:rsidRPr="006D4AB3">
        <w:rPr>
          <w:rFonts w:ascii="Calibri" w:hAnsi="Calibri"/>
          <w:b/>
        </w:rPr>
        <w:t>without any income, in some cases for over a year</w:t>
      </w:r>
      <w:r w:rsidR="00DF4823" w:rsidRPr="006D4AB3">
        <w:rPr>
          <w:rFonts w:ascii="Calibri" w:hAnsi="Calibri"/>
        </w:rPr>
        <w:t>.</w:t>
      </w:r>
      <w:r w:rsidR="00B04230" w:rsidRPr="006D4AB3">
        <w:rPr>
          <w:rFonts w:ascii="Calibri" w:hAnsi="Calibri"/>
        </w:rPr>
        <w:t xml:space="preserve"> Disabled people report that </w:t>
      </w:r>
      <w:r w:rsidR="00DF4823" w:rsidRPr="006D4AB3">
        <w:rPr>
          <w:rFonts w:ascii="Calibri" w:hAnsi="Calibri"/>
        </w:rPr>
        <w:t>assessment</w:t>
      </w:r>
      <w:r w:rsidR="00B04230" w:rsidRPr="006D4AB3">
        <w:rPr>
          <w:rFonts w:ascii="Calibri" w:hAnsi="Calibri"/>
        </w:rPr>
        <w:t>s are</w:t>
      </w:r>
      <w:r w:rsidR="00DF4823" w:rsidRPr="006D4AB3">
        <w:rPr>
          <w:rFonts w:ascii="Calibri" w:hAnsi="Calibri"/>
        </w:rPr>
        <w:t xml:space="preserve"> </w:t>
      </w:r>
      <w:r w:rsidR="00FD2AF5" w:rsidRPr="006D4AB3">
        <w:rPr>
          <w:rFonts w:ascii="Calibri" w:hAnsi="Calibri"/>
        </w:rPr>
        <w:t>inaccurate</w:t>
      </w:r>
      <w:r w:rsidR="00DF4823" w:rsidRPr="006D4AB3">
        <w:rPr>
          <w:rFonts w:ascii="Calibri" w:hAnsi="Calibri"/>
        </w:rPr>
        <w:t xml:space="preserve"> and undermine the barriers that pain, fatigue and mental health present. </w:t>
      </w:r>
      <w:r w:rsidR="00B04230" w:rsidRPr="006D4AB3">
        <w:rPr>
          <w:rFonts w:ascii="Calibri" w:hAnsi="Calibri"/>
        </w:rPr>
        <w:t xml:space="preserve"> </w:t>
      </w:r>
      <w:r w:rsidR="00FD2AF5" w:rsidRPr="006D4AB3">
        <w:rPr>
          <w:rFonts w:ascii="Calibri" w:hAnsi="Calibri"/>
          <w:b/>
        </w:rPr>
        <w:t>Two-</w:t>
      </w:r>
      <w:r w:rsidR="00B04230" w:rsidRPr="006D4AB3">
        <w:rPr>
          <w:rFonts w:ascii="Calibri" w:hAnsi="Calibri"/>
          <w:b/>
        </w:rPr>
        <w:t>thirds of people impacted by the Under-Occupancy Penalty or ‘bedroom tax’ are disabled</w:t>
      </w:r>
      <w:r w:rsidR="00B04230" w:rsidRPr="006D4AB3">
        <w:rPr>
          <w:rFonts w:ascii="Calibri" w:hAnsi="Calibri"/>
        </w:rPr>
        <w:t>, many have no option but to make up the shortfall in housing benefit from an already limited food budget because of the limited availability of appropriately sized accessible housing.</w:t>
      </w:r>
    </w:p>
    <w:p w14:paraId="0415467F" w14:textId="4C3F0942" w:rsidR="004D25E7" w:rsidRPr="006D4AB3" w:rsidRDefault="006D17D4" w:rsidP="00B04230">
      <w:pPr>
        <w:ind w:left="720"/>
        <w:rPr>
          <w:rFonts w:ascii="Calibri" w:hAnsi="Calibri"/>
        </w:rPr>
      </w:pPr>
      <w:r w:rsidRPr="006D4AB3">
        <w:rPr>
          <w:rFonts w:ascii="Calibri" w:hAnsi="Calibri"/>
        </w:rPr>
        <w:t>In addition to the tremendous stress and hardship that social security reform has had, it has also perversely resulted in</w:t>
      </w:r>
      <w:r w:rsidR="00B04230" w:rsidRPr="006D4AB3">
        <w:rPr>
          <w:rFonts w:ascii="Calibri" w:hAnsi="Calibri"/>
        </w:rPr>
        <w:t xml:space="preserve"> over</w:t>
      </w:r>
      <w:r w:rsidRPr="006D4AB3">
        <w:rPr>
          <w:rFonts w:ascii="Calibri" w:hAnsi="Calibri"/>
        </w:rPr>
        <w:t xml:space="preserve"> </w:t>
      </w:r>
      <w:r w:rsidR="00B04230" w:rsidRPr="006D4AB3">
        <w:rPr>
          <w:rFonts w:ascii="Calibri" w:hAnsi="Calibri"/>
        </w:rPr>
        <w:t>50,000</w:t>
      </w:r>
      <w:r w:rsidRPr="006D4AB3">
        <w:rPr>
          <w:rFonts w:ascii="Calibri" w:hAnsi="Calibri"/>
        </w:rPr>
        <w:t xml:space="preserve"> disabled people </w:t>
      </w:r>
      <w:r w:rsidR="00E901FF">
        <w:rPr>
          <w:rFonts w:ascii="Calibri" w:hAnsi="Calibri"/>
        </w:rPr>
        <w:t xml:space="preserve">becoming </w:t>
      </w:r>
      <w:r w:rsidRPr="006D4AB3">
        <w:rPr>
          <w:rFonts w:ascii="Calibri" w:hAnsi="Calibri"/>
          <w:b/>
        </w:rPr>
        <w:t>unable to work b</w:t>
      </w:r>
      <w:r w:rsidR="00E901FF">
        <w:rPr>
          <w:rFonts w:ascii="Calibri" w:hAnsi="Calibri"/>
          <w:b/>
        </w:rPr>
        <w:t>ecause of unaffordable mobility costs</w:t>
      </w:r>
      <w:r w:rsidRPr="006D4AB3">
        <w:rPr>
          <w:rFonts w:ascii="Calibri" w:hAnsi="Calibri"/>
        </w:rPr>
        <w:t>.</w:t>
      </w:r>
      <w:r w:rsidR="00B04230" w:rsidRPr="006D4AB3">
        <w:rPr>
          <w:rStyle w:val="EndnoteReference"/>
          <w:rFonts w:ascii="Calibri" w:hAnsi="Calibri"/>
        </w:rPr>
        <w:endnoteReference w:id="177"/>
      </w:r>
      <w:r w:rsidR="00B04230" w:rsidRPr="006D4AB3">
        <w:rPr>
          <w:rFonts w:ascii="Calibri" w:hAnsi="Calibri"/>
        </w:rPr>
        <w:t xml:space="preserve"> </w:t>
      </w:r>
      <w:r w:rsidRPr="006D4AB3">
        <w:rPr>
          <w:rFonts w:ascii="Calibri" w:hAnsi="Calibri"/>
        </w:rPr>
        <w:t xml:space="preserve">The predicted saving of £145m from limiting PIP mobility criteria is far outweighed by the estimated £464m additional cost of supporting formerly employed disabled people. </w:t>
      </w:r>
      <w:r w:rsidR="00B04230" w:rsidRPr="006D4AB3">
        <w:rPr>
          <w:rFonts w:ascii="Calibri" w:hAnsi="Calibri"/>
        </w:rPr>
        <w:t xml:space="preserve">Similarly the </w:t>
      </w:r>
      <w:r w:rsidR="00B04230" w:rsidRPr="006D4AB3">
        <w:rPr>
          <w:rFonts w:ascii="Calibri" w:hAnsi="Calibri"/>
          <w:b/>
        </w:rPr>
        <w:t>cost of assessing and challenging appeals has cost significantly more than reforms have saved</w:t>
      </w:r>
      <w:r w:rsidR="00B04230" w:rsidRPr="006D4AB3">
        <w:rPr>
          <w:rFonts w:ascii="Calibri" w:hAnsi="Calibri"/>
        </w:rPr>
        <w:t>.</w:t>
      </w:r>
      <w:r w:rsidR="00E901FF">
        <w:rPr>
          <w:rStyle w:val="EndnoteReference"/>
          <w:rFonts w:ascii="Calibri" w:hAnsi="Calibri"/>
        </w:rPr>
        <w:endnoteReference w:id="178"/>
      </w:r>
      <w:r w:rsidR="00B04230" w:rsidRPr="006D4AB3">
        <w:rPr>
          <w:rFonts w:ascii="Calibri" w:hAnsi="Calibri"/>
        </w:rPr>
        <w:t xml:space="preserve"> </w:t>
      </w:r>
    </w:p>
    <w:p w14:paraId="3F3E3201" w14:textId="7B6DB3A6" w:rsidR="000B4D13" w:rsidRPr="006D4AB3" w:rsidRDefault="00B036A5" w:rsidP="004A68DE">
      <w:pPr>
        <w:rPr>
          <w:rFonts w:ascii="Calibri" w:hAnsi="Calibri"/>
          <w:b/>
          <w:sz w:val="28"/>
        </w:rPr>
      </w:pPr>
      <w:r>
        <w:rPr>
          <w:rFonts w:ascii="Calibri" w:hAnsi="Calibri"/>
          <w:b/>
          <w:sz w:val="28"/>
        </w:rPr>
        <w:t xml:space="preserve">Refugees, </w:t>
      </w:r>
      <w:r w:rsidR="003273B7" w:rsidRPr="006D4AB3">
        <w:rPr>
          <w:rFonts w:ascii="Calibri" w:hAnsi="Calibri"/>
          <w:b/>
          <w:sz w:val="28"/>
        </w:rPr>
        <w:t>Asylum Seekers</w:t>
      </w:r>
      <w:r w:rsidR="00F33575" w:rsidRPr="006D4AB3">
        <w:rPr>
          <w:rFonts w:ascii="Calibri" w:hAnsi="Calibri"/>
          <w:b/>
          <w:sz w:val="28"/>
        </w:rPr>
        <w:t xml:space="preserve"> &amp; Migrants</w:t>
      </w:r>
    </w:p>
    <w:p w14:paraId="4B6BDBB7" w14:textId="54696557" w:rsidR="00B036A5" w:rsidRPr="006D4AB3" w:rsidRDefault="00B036A5" w:rsidP="00B036A5">
      <w:pPr>
        <w:ind w:left="720"/>
        <w:rPr>
          <w:rFonts w:ascii="Calibri" w:hAnsi="Calibri"/>
        </w:rPr>
      </w:pPr>
      <w:r w:rsidRPr="006D4AB3">
        <w:rPr>
          <w:rFonts w:ascii="Calibri" w:hAnsi="Calibri"/>
        </w:rPr>
        <w:t>The violent crises on-going in numerous count</w:t>
      </w:r>
      <w:r w:rsidR="00A637BC">
        <w:rPr>
          <w:rFonts w:ascii="Calibri" w:hAnsi="Calibri"/>
        </w:rPr>
        <w:t>r</w:t>
      </w:r>
      <w:r w:rsidRPr="006D4AB3">
        <w:rPr>
          <w:rFonts w:ascii="Calibri" w:hAnsi="Calibri"/>
        </w:rPr>
        <w:t xml:space="preserve">ies across Asia and Africa have increased the number refugees fleeing to Europe. The UK Government has sought to restrict refugees from seeking asylum in the UK, including by funding tens of millions of pounds of fencing to prevent people boarding vehicles at the French port of Calais. Until recently there were </w:t>
      </w:r>
      <w:r w:rsidRPr="006D4AB3">
        <w:rPr>
          <w:rFonts w:ascii="Calibri" w:hAnsi="Calibri"/>
          <w:b/>
        </w:rPr>
        <w:t xml:space="preserve">over 6000 refugees camped near the port in </w:t>
      </w:r>
      <w:r w:rsidR="00E75066" w:rsidRPr="006D4AB3">
        <w:rPr>
          <w:rFonts w:ascii="Calibri" w:hAnsi="Calibri"/>
          <w:b/>
        </w:rPr>
        <w:t>makeshift</w:t>
      </w:r>
      <w:r w:rsidRPr="006D4AB3">
        <w:rPr>
          <w:rFonts w:ascii="Calibri" w:hAnsi="Calibri"/>
          <w:b/>
        </w:rPr>
        <w:t xml:space="preserve"> accommodation with limited access to food or sanitation</w:t>
      </w:r>
      <w:r w:rsidRPr="006D4AB3">
        <w:rPr>
          <w:rFonts w:ascii="Calibri" w:hAnsi="Calibri"/>
        </w:rPr>
        <w:t xml:space="preserve">. Of the 1.3million people displaced to Europe in 2015 the UK granted asylum to just 13,900, 1337 of </w:t>
      </w:r>
      <w:r w:rsidR="00E75066" w:rsidRPr="006D4AB3">
        <w:rPr>
          <w:rFonts w:ascii="Calibri" w:hAnsi="Calibri"/>
        </w:rPr>
        <w:t>who</w:t>
      </w:r>
      <w:r w:rsidRPr="006D4AB3">
        <w:rPr>
          <w:rFonts w:ascii="Calibri" w:hAnsi="Calibri"/>
        </w:rPr>
        <w:t xml:space="preserve"> were Syrian and resettled under the Vulnerable Persons Resettlement Scheme.</w:t>
      </w:r>
      <w:r w:rsidRPr="006D4AB3">
        <w:rPr>
          <w:rStyle w:val="EndnoteReference"/>
          <w:rFonts w:ascii="Calibri" w:hAnsi="Calibri"/>
        </w:rPr>
        <w:endnoteReference w:id="179"/>
      </w:r>
    </w:p>
    <w:p w14:paraId="50112F39" w14:textId="1A4ECA38" w:rsidR="004F3A78" w:rsidRPr="006D4AB3" w:rsidRDefault="004F3A78" w:rsidP="00DA441C">
      <w:pPr>
        <w:ind w:left="720"/>
        <w:rPr>
          <w:rFonts w:ascii="Calibri" w:hAnsi="Calibri"/>
        </w:rPr>
      </w:pPr>
      <w:r w:rsidRPr="006D4AB3">
        <w:rPr>
          <w:rFonts w:ascii="Calibri" w:hAnsi="Calibri"/>
        </w:rPr>
        <w:t>People</w:t>
      </w:r>
      <w:r w:rsidR="003273B7" w:rsidRPr="006D4AB3">
        <w:rPr>
          <w:rFonts w:ascii="Calibri" w:hAnsi="Calibri"/>
        </w:rPr>
        <w:t xml:space="preserve"> seeking asylum in the UK are not entitled to any of the social security benefits we have discussed in this report. </w:t>
      </w:r>
      <w:r w:rsidR="00D71759" w:rsidRPr="006D4AB3">
        <w:rPr>
          <w:rFonts w:ascii="Calibri" w:hAnsi="Calibri"/>
        </w:rPr>
        <w:t>Asylum seekers are not allowed to work in the UK, s</w:t>
      </w:r>
      <w:r w:rsidR="003273B7" w:rsidRPr="006D4AB3">
        <w:rPr>
          <w:rFonts w:ascii="Calibri" w:hAnsi="Calibri"/>
        </w:rPr>
        <w:t>ome very limite</w:t>
      </w:r>
      <w:r w:rsidR="00D71759" w:rsidRPr="006D4AB3">
        <w:rPr>
          <w:rFonts w:ascii="Calibri" w:hAnsi="Calibri"/>
        </w:rPr>
        <w:t>d financial and housing support</w:t>
      </w:r>
      <w:r w:rsidR="003273B7" w:rsidRPr="006D4AB3">
        <w:rPr>
          <w:rFonts w:ascii="Calibri" w:hAnsi="Calibri"/>
        </w:rPr>
        <w:t xml:space="preserve"> known as </w:t>
      </w:r>
      <w:r w:rsidR="003273B7" w:rsidRPr="006D4AB3">
        <w:rPr>
          <w:rFonts w:ascii="Calibri" w:hAnsi="Calibri"/>
          <w:i/>
        </w:rPr>
        <w:t>Asylum Support</w:t>
      </w:r>
      <w:r w:rsidR="003273B7" w:rsidRPr="006D4AB3">
        <w:rPr>
          <w:rFonts w:ascii="Calibri" w:hAnsi="Calibri"/>
        </w:rPr>
        <w:t xml:space="preserve"> </w:t>
      </w:r>
      <w:r w:rsidR="00DA441C">
        <w:rPr>
          <w:rFonts w:ascii="Calibri" w:hAnsi="Calibri"/>
        </w:rPr>
        <w:t>may</w:t>
      </w:r>
      <w:r w:rsidR="003273B7" w:rsidRPr="006D4AB3">
        <w:rPr>
          <w:rFonts w:ascii="Calibri" w:hAnsi="Calibri"/>
        </w:rPr>
        <w:t xml:space="preserve"> be awarded under the Immigration and Asylum Act 1999</w:t>
      </w:r>
      <w:r w:rsidR="00F2237E" w:rsidRPr="006D4AB3">
        <w:rPr>
          <w:rFonts w:ascii="Calibri" w:hAnsi="Calibri"/>
        </w:rPr>
        <w:t>.</w:t>
      </w:r>
      <w:r w:rsidRPr="006D4AB3">
        <w:rPr>
          <w:rFonts w:ascii="Calibri" w:hAnsi="Calibri"/>
        </w:rPr>
        <w:t xml:space="preserve"> The</w:t>
      </w:r>
      <w:r w:rsidR="001E341E" w:rsidRPr="006D4AB3">
        <w:rPr>
          <w:rFonts w:ascii="Calibri" w:hAnsi="Calibri"/>
        </w:rPr>
        <w:t xml:space="preserve"> reformed</w:t>
      </w:r>
      <w:r w:rsidRPr="006D4AB3">
        <w:rPr>
          <w:rFonts w:ascii="Calibri" w:hAnsi="Calibri"/>
        </w:rPr>
        <w:t xml:space="preserve"> rate of </w:t>
      </w:r>
      <w:r w:rsidR="00F2237E" w:rsidRPr="006D4AB3">
        <w:rPr>
          <w:rFonts w:ascii="Calibri" w:hAnsi="Calibri"/>
        </w:rPr>
        <w:t>financial support</w:t>
      </w:r>
      <w:r w:rsidRPr="006D4AB3">
        <w:rPr>
          <w:rFonts w:ascii="Calibri" w:hAnsi="Calibri"/>
        </w:rPr>
        <w:t xml:space="preserve"> </w:t>
      </w:r>
      <w:r w:rsidR="00F2237E" w:rsidRPr="006D4AB3">
        <w:rPr>
          <w:rFonts w:ascii="Calibri" w:hAnsi="Calibri"/>
        </w:rPr>
        <w:t xml:space="preserve">as of 2015 </w:t>
      </w:r>
      <w:r w:rsidRPr="006D4AB3">
        <w:rPr>
          <w:rFonts w:ascii="Calibri" w:hAnsi="Calibri"/>
        </w:rPr>
        <w:t>is £36.95 a week –</w:t>
      </w:r>
      <w:r w:rsidR="001E341E" w:rsidRPr="006D4AB3">
        <w:rPr>
          <w:rFonts w:ascii="Calibri" w:hAnsi="Calibri"/>
        </w:rPr>
        <w:t xml:space="preserve"> this is a</w:t>
      </w:r>
      <w:r w:rsidRPr="006D4AB3">
        <w:rPr>
          <w:rFonts w:ascii="Calibri" w:hAnsi="Calibri"/>
        </w:rPr>
        <w:t xml:space="preserve"> flat rate for any a</w:t>
      </w:r>
      <w:r w:rsidR="001E341E" w:rsidRPr="006D4AB3">
        <w:rPr>
          <w:rFonts w:ascii="Calibri" w:hAnsi="Calibri"/>
        </w:rPr>
        <w:t xml:space="preserve">dult or child and is a </w:t>
      </w:r>
      <w:r w:rsidR="00F2237E" w:rsidRPr="006D4AB3">
        <w:rPr>
          <w:rFonts w:ascii="Calibri" w:hAnsi="Calibri"/>
          <w:b/>
        </w:rPr>
        <w:t xml:space="preserve">30% reduction </w:t>
      </w:r>
      <w:r w:rsidR="00F2237E" w:rsidRPr="006D4AB3">
        <w:rPr>
          <w:rFonts w:ascii="Calibri" w:hAnsi="Calibri"/>
        </w:rPr>
        <w:t>from the previous child rate of £52.96, predicted to impact over 27,800 people.</w:t>
      </w:r>
      <w:r w:rsidR="00D71759" w:rsidRPr="006D4AB3">
        <w:rPr>
          <w:rFonts w:ascii="Calibri" w:hAnsi="Calibri"/>
        </w:rPr>
        <w:t xml:space="preserve"> </w:t>
      </w:r>
      <w:r w:rsidRPr="006D4AB3">
        <w:rPr>
          <w:rFonts w:ascii="Calibri" w:hAnsi="Calibri"/>
        </w:rPr>
        <w:t xml:space="preserve">The UK Government </w:t>
      </w:r>
      <w:r w:rsidR="00BD1C5D" w:rsidRPr="006D4AB3">
        <w:rPr>
          <w:rFonts w:ascii="Calibri" w:hAnsi="Calibri"/>
        </w:rPr>
        <w:t>believes</w:t>
      </w:r>
      <w:r w:rsidRPr="006D4AB3">
        <w:rPr>
          <w:rFonts w:ascii="Calibri" w:hAnsi="Calibri"/>
        </w:rPr>
        <w:t xml:space="preserve"> that the previous support gave asylum seeking families ‘significantly more cash t</w:t>
      </w:r>
      <w:r w:rsidR="00F2237E" w:rsidRPr="006D4AB3">
        <w:rPr>
          <w:rFonts w:ascii="Calibri" w:hAnsi="Calibri"/>
        </w:rPr>
        <w:t xml:space="preserve">han necessary’ to meet essentials. </w:t>
      </w:r>
      <w:r w:rsidR="00D71759" w:rsidRPr="006D4AB3">
        <w:rPr>
          <w:rFonts w:ascii="Calibri" w:hAnsi="Calibri"/>
        </w:rPr>
        <w:t>In reality</w:t>
      </w:r>
      <w:r w:rsidR="00F2237E" w:rsidRPr="006D4AB3">
        <w:rPr>
          <w:rFonts w:ascii="Calibri" w:hAnsi="Calibri"/>
        </w:rPr>
        <w:t xml:space="preserve"> </w:t>
      </w:r>
      <w:r w:rsidR="00D71759" w:rsidRPr="006D4AB3">
        <w:rPr>
          <w:rFonts w:ascii="Calibri" w:hAnsi="Calibri"/>
        </w:rPr>
        <w:t xml:space="preserve">the opposite is true, </w:t>
      </w:r>
      <w:r w:rsidR="00F2237E" w:rsidRPr="006D4AB3">
        <w:rPr>
          <w:rFonts w:ascii="Calibri" w:hAnsi="Calibri"/>
        </w:rPr>
        <w:t xml:space="preserve">both the previous and current payments </w:t>
      </w:r>
      <w:r w:rsidR="00D71759" w:rsidRPr="006D4AB3">
        <w:rPr>
          <w:rFonts w:ascii="Calibri" w:hAnsi="Calibri"/>
        </w:rPr>
        <w:t xml:space="preserve">effectively keep </w:t>
      </w:r>
      <w:r w:rsidR="00F2237E" w:rsidRPr="006D4AB3">
        <w:rPr>
          <w:rFonts w:ascii="Calibri" w:hAnsi="Calibri"/>
        </w:rPr>
        <w:t xml:space="preserve">asylum seekers destitute, most </w:t>
      </w:r>
      <w:r w:rsidR="00DA441C">
        <w:rPr>
          <w:rFonts w:ascii="Calibri" w:hAnsi="Calibri"/>
        </w:rPr>
        <w:t>are</w:t>
      </w:r>
      <w:r w:rsidR="00F2237E" w:rsidRPr="006D4AB3">
        <w:rPr>
          <w:rFonts w:ascii="Calibri" w:hAnsi="Calibri"/>
        </w:rPr>
        <w:t xml:space="preserve"> unable to access basic food or hygiene products.</w:t>
      </w:r>
      <w:r w:rsidR="00297953" w:rsidRPr="006D4AB3">
        <w:rPr>
          <w:rStyle w:val="EndnoteReference"/>
          <w:rFonts w:ascii="Calibri" w:hAnsi="Calibri"/>
        </w:rPr>
        <w:endnoteReference w:id="180"/>
      </w:r>
    </w:p>
    <w:p w14:paraId="3CB0CA60" w14:textId="0E3CD76C" w:rsidR="00711958" w:rsidRPr="006D4AB3" w:rsidRDefault="001E341E" w:rsidP="001E341E">
      <w:pPr>
        <w:ind w:left="720"/>
        <w:rPr>
          <w:rStyle w:val="Strong"/>
          <w:rFonts w:ascii="Calibri" w:hAnsi="Calibri"/>
          <w:bCs w:val="0"/>
          <w:sz w:val="28"/>
        </w:rPr>
      </w:pPr>
      <w:r w:rsidRPr="006D4AB3">
        <w:rPr>
          <w:rFonts w:ascii="Calibri" w:hAnsi="Calibri"/>
        </w:rPr>
        <w:t xml:space="preserve">Despite </w:t>
      </w:r>
      <w:r w:rsidR="00BD1C5D" w:rsidRPr="006D4AB3">
        <w:rPr>
          <w:rFonts w:ascii="Calibri" w:hAnsi="Calibri"/>
        </w:rPr>
        <w:t xml:space="preserve">the prevalence of </w:t>
      </w:r>
      <w:proofErr w:type="gramStart"/>
      <w:r w:rsidR="00BD1C5D" w:rsidRPr="006D4AB3">
        <w:rPr>
          <w:rFonts w:ascii="Calibri" w:hAnsi="Calibri"/>
        </w:rPr>
        <w:t>often</w:t>
      </w:r>
      <w:r w:rsidRPr="006D4AB3">
        <w:rPr>
          <w:rFonts w:ascii="Calibri" w:hAnsi="Calibri"/>
        </w:rPr>
        <w:t xml:space="preserve"> xenophobic</w:t>
      </w:r>
      <w:proofErr w:type="gramEnd"/>
      <w:r w:rsidRPr="006D4AB3">
        <w:rPr>
          <w:rFonts w:ascii="Calibri" w:hAnsi="Calibri"/>
        </w:rPr>
        <w:t xml:space="preserve"> rhetoric to the contrary, economic migrants </w:t>
      </w:r>
      <w:r w:rsidR="00107795" w:rsidRPr="006D4AB3">
        <w:rPr>
          <w:rFonts w:ascii="Calibri" w:hAnsi="Calibri"/>
        </w:rPr>
        <w:t>in</w:t>
      </w:r>
      <w:r w:rsidRPr="006D4AB3">
        <w:rPr>
          <w:rFonts w:ascii="Calibri" w:hAnsi="Calibri"/>
        </w:rPr>
        <w:t xml:space="preserve"> the UK are financial net contributors, contributing more in taxes than they receive in social security support.</w:t>
      </w:r>
      <w:r w:rsidR="00BD1C5D" w:rsidRPr="006D4AB3">
        <w:rPr>
          <w:rStyle w:val="EndnoteReference"/>
          <w:rFonts w:ascii="Calibri" w:hAnsi="Calibri"/>
        </w:rPr>
        <w:endnoteReference w:id="181"/>
      </w:r>
      <w:r w:rsidRPr="006D4AB3">
        <w:rPr>
          <w:rFonts w:ascii="Calibri" w:hAnsi="Calibri"/>
        </w:rPr>
        <w:t xml:space="preserve"> The UK Government’s </w:t>
      </w:r>
      <w:r w:rsidR="00BD1C5D" w:rsidRPr="006D4AB3">
        <w:rPr>
          <w:rFonts w:ascii="Calibri" w:hAnsi="Calibri"/>
        </w:rPr>
        <w:t xml:space="preserve">EU </w:t>
      </w:r>
      <w:r w:rsidRPr="006D4AB3">
        <w:rPr>
          <w:rFonts w:ascii="Calibri" w:hAnsi="Calibri"/>
        </w:rPr>
        <w:t>renegotiation</w:t>
      </w:r>
      <w:r w:rsidR="00BD1C5D" w:rsidRPr="006D4AB3">
        <w:rPr>
          <w:rFonts w:ascii="Calibri" w:hAnsi="Calibri"/>
        </w:rPr>
        <w:t xml:space="preserve"> deal secured earlier this year included </w:t>
      </w:r>
      <w:r w:rsidR="004D25E7" w:rsidRPr="006D4AB3">
        <w:rPr>
          <w:rFonts w:ascii="Calibri" w:hAnsi="Calibri"/>
        </w:rPr>
        <w:t>provision for an</w:t>
      </w:r>
      <w:r w:rsidR="00BD1C5D" w:rsidRPr="006D4AB3">
        <w:rPr>
          <w:rFonts w:ascii="Calibri" w:hAnsi="Calibri"/>
        </w:rPr>
        <w:t xml:space="preserve"> ‘emergency break’</w:t>
      </w:r>
      <w:r w:rsidR="004D25E7" w:rsidRPr="006D4AB3">
        <w:rPr>
          <w:rFonts w:ascii="Calibri" w:hAnsi="Calibri"/>
        </w:rPr>
        <w:t xml:space="preserve"> of up to 4 years</w:t>
      </w:r>
      <w:r w:rsidR="00BD1C5D" w:rsidRPr="006D4AB3">
        <w:rPr>
          <w:rFonts w:ascii="Calibri" w:hAnsi="Calibri"/>
        </w:rPr>
        <w:t xml:space="preserve"> on in-work benefits to European migrants</w:t>
      </w:r>
      <w:r w:rsidR="00110F04" w:rsidRPr="006D4AB3">
        <w:rPr>
          <w:rFonts w:ascii="Calibri" w:hAnsi="Calibri"/>
        </w:rPr>
        <w:t xml:space="preserve"> – this wo</w:t>
      </w:r>
      <w:r w:rsidR="00E75066">
        <w:rPr>
          <w:rFonts w:ascii="Calibri" w:hAnsi="Calibri"/>
        </w:rPr>
        <w:t>u</w:t>
      </w:r>
      <w:r w:rsidR="00110F04" w:rsidRPr="006D4AB3">
        <w:rPr>
          <w:rFonts w:ascii="Calibri" w:hAnsi="Calibri"/>
        </w:rPr>
        <w:t xml:space="preserve">ld extend existing migrant eligibility restrictions to </w:t>
      </w:r>
      <w:r w:rsidR="00B77959" w:rsidRPr="006D4AB3">
        <w:rPr>
          <w:rFonts w:ascii="Calibri" w:hAnsi="Calibri"/>
        </w:rPr>
        <w:t>further</w:t>
      </w:r>
      <w:r w:rsidR="00110F04" w:rsidRPr="006D4AB3">
        <w:rPr>
          <w:rFonts w:ascii="Calibri" w:hAnsi="Calibri"/>
        </w:rPr>
        <w:t xml:space="preserve"> unfairly penalise</w:t>
      </w:r>
      <w:r w:rsidR="004D25E7" w:rsidRPr="006D4AB3">
        <w:rPr>
          <w:rFonts w:ascii="Calibri" w:hAnsi="Calibri"/>
        </w:rPr>
        <w:t xml:space="preserve"> people who are in-work but on low</w:t>
      </w:r>
      <w:r w:rsidR="00B77959" w:rsidRPr="006D4AB3">
        <w:rPr>
          <w:rFonts w:ascii="Calibri" w:hAnsi="Calibri"/>
        </w:rPr>
        <w:t xml:space="preserve"> pay, overwhelmingly women lone-</w:t>
      </w:r>
      <w:r w:rsidR="00110F04" w:rsidRPr="006D4AB3">
        <w:rPr>
          <w:rFonts w:ascii="Calibri" w:hAnsi="Calibri"/>
        </w:rPr>
        <w:t>parents.</w:t>
      </w:r>
      <w:r w:rsidR="00110F04" w:rsidRPr="006D4AB3">
        <w:rPr>
          <w:rStyle w:val="EndnoteReference"/>
          <w:rFonts w:ascii="Calibri" w:hAnsi="Calibri"/>
        </w:rPr>
        <w:endnoteReference w:id="182"/>
      </w:r>
    </w:p>
    <w:sectPr w:rsidR="00711958" w:rsidRPr="006D4AB3" w:rsidSect="009D2D77">
      <w:headerReference w:type="default" r:id="rId10"/>
      <w:footerReference w:type="default" r:id="rId11"/>
      <w:headerReference w:type="first" r:id="rId12"/>
      <w:endnotePr>
        <w:numFmt w:val="decimal"/>
      </w:endnotePr>
      <w:pgSz w:w="11906" w:h="16838"/>
      <w:pgMar w:top="1276" w:right="849"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8A80" w14:textId="77777777" w:rsidR="002B679D" w:rsidRDefault="002B679D" w:rsidP="002A142F">
      <w:pPr>
        <w:spacing w:after="0" w:line="240" w:lineRule="auto"/>
      </w:pPr>
      <w:r>
        <w:separator/>
      </w:r>
    </w:p>
  </w:endnote>
  <w:endnote w:type="continuationSeparator" w:id="0">
    <w:p w14:paraId="72C1BAC3" w14:textId="77777777" w:rsidR="002B679D" w:rsidRDefault="002B679D" w:rsidP="002A142F">
      <w:pPr>
        <w:spacing w:after="0" w:line="240" w:lineRule="auto"/>
      </w:pPr>
      <w:r>
        <w:continuationSeparator/>
      </w:r>
    </w:p>
  </w:endnote>
  <w:endnote w:id="1">
    <w:p w14:paraId="34375440" w14:textId="77777777" w:rsidR="002B679D" w:rsidRDefault="002B679D" w:rsidP="00B839BA">
      <w:pPr>
        <w:pStyle w:val="EndnoteText"/>
      </w:pPr>
      <w:r>
        <w:rPr>
          <w:rStyle w:val="EndnoteReference"/>
        </w:rPr>
        <w:endnoteRef/>
      </w:r>
      <w:r>
        <w:t xml:space="preserve"> </w:t>
      </w:r>
      <w:r w:rsidRPr="00671505">
        <w:t>The sentences immediately preceding this quote are also of relevance; ‘Standards expressed in international treaties or conventions dealing with human rights to which the UK has subscribed must be presumed to be the product of extensive and enlightened consideration. There is no lo</w:t>
      </w:r>
      <w:bookmarkStart w:id="0" w:name="_GoBack"/>
      <w:bookmarkEnd w:id="0"/>
      <w:r w:rsidRPr="00671505">
        <w:t>gical reason to deny to UK citizens domestic law’s vindication of the rights that those conventions proclaim.’</w:t>
      </w:r>
      <w:r>
        <w:t xml:space="preserve"> – Lord Kerr at paragraph 256, the dissenting opinion in </w:t>
      </w:r>
      <w:hyperlink r:id="rId1" w:history="1">
        <w:r w:rsidRPr="00ED5356">
          <w:rPr>
            <w:rStyle w:val="Hyperlink"/>
          </w:rPr>
          <w:t>R (on the application of SG and others (previously JS and others)) v Secretary of State for Work and Pensions [2015] UKSC 16</w:t>
        </w:r>
      </w:hyperlink>
      <w:r>
        <w:t>, (on the disproportionate effect of the benefit cap on women and children)</w:t>
      </w:r>
    </w:p>
  </w:endnote>
  <w:endnote w:id="2">
    <w:p w14:paraId="49A7F59D" w14:textId="77777777" w:rsidR="002B679D" w:rsidRDefault="002B679D" w:rsidP="0065383A">
      <w:pPr>
        <w:pStyle w:val="EndnoteText"/>
      </w:pPr>
      <w:r>
        <w:rPr>
          <w:rStyle w:val="EndnoteReference"/>
        </w:rPr>
        <w:endnoteRef/>
      </w:r>
      <w:r>
        <w:t xml:space="preserve"> Institute for Fiscal Affairs, </w:t>
      </w:r>
      <w:hyperlink r:id="rId2" w:history="1">
        <w:r w:rsidRPr="00010B11">
          <w:rPr>
            <w:rStyle w:val="Hyperlink"/>
          </w:rPr>
          <w:t>Are we ‘all in this together’</w:t>
        </w:r>
      </w:hyperlink>
      <w:r>
        <w:rPr>
          <w:rStyle w:val="Hyperlink"/>
          <w:color w:val="auto"/>
          <w:u w:val="none"/>
        </w:rPr>
        <w:t xml:space="preserve"> (</w:t>
      </w:r>
      <w:r w:rsidRPr="00F2685D">
        <w:rPr>
          <w:rStyle w:val="Hyperlink"/>
          <w:color w:val="auto"/>
          <w:u w:val="none"/>
        </w:rPr>
        <w:t>IFS, 2016)</w:t>
      </w:r>
    </w:p>
  </w:endnote>
  <w:endnote w:id="3">
    <w:p w14:paraId="7DBBDC2A" w14:textId="77777777" w:rsidR="002B679D" w:rsidRDefault="002B679D" w:rsidP="0065383A">
      <w:pPr>
        <w:pStyle w:val="EndnoteText"/>
      </w:pPr>
      <w:r>
        <w:rPr>
          <w:rStyle w:val="EndnoteReference"/>
        </w:rPr>
        <w:endnoteRef/>
      </w:r>
      <w:r>
        <w:t xml:space="preserve"> Institute for Fiscal Affairs, </w:t>
      </w:r>
      <w:hyperlink r:id="rId3" w:history="1">
        <w:r w:rsidRPr="00010B11">
          <w:rPr>
            <w:rStyle w:val="Hyperlink"/>
          </w:rPr>
          <w:t>Are we ‘all in this together’</w:t>
        </w:r>
      </w:hyperlink>
      <w:r>
        <w:rPr>
          <w:rStyle w:val="Hyperlink"/>
          <w:color w:val="auto"/>
          <w:u w:val="none"/>
        </w:rPr>
        <w:t xml:space="preserve"> (</w:t>
      </w:r>
      <w:r w:rsidRPr="00F2685D">
        <w:rPr>
          <w:rStyle w:val="Hyperlink"/>
          <w:color w:val="auto"/>
          <w:u w:val="none"/>
        </w:rPr>
        <w:t>IFS, 2016)</w:t>
      </w:r>
      <w:r>
        <w:rPr>
          <w:rStyle w:val="Hyperlink"/>
          <w:color w:val="auto"/>
          <w:u w:val="none"/>
        </w:rPr>
        <w:t xml:space="preserve"> </w:t>
      </w:r>
      <w:r>
        <w:t xml:space="preserve">at Chart 4: Long-run impact of tax and benefit reforms introduced between May 2015 and April 2019 </w:t>
      </w:r>
    </w:p>
  </w:endnote>
  <w:endnote w:id="4">
    <w:p w14:paraId="14BCB863" w14:textId="6C3C2D13" w:rsidR="002B679D" w:rsidRDefault="002B679D" w:rsidP="00A55C9F">
      <w:pPr>
        <w:pStyle w:val="EndnoteText"/>
      </w:pPr>
      <w:r>
        <w:rPr>
          <w:rStyle w:val="EndnoteReference"/>
        </w:rPr>
        <w:endnoteRef/>
      </w:r>
      <w:r>
        <w:t xml:space="preserve"> D Hirsch, </w:t>
      </w:r>
      <w:hyperlink r:id="rId4" w:history="1">
        <w:r w:rsidRPr="00231E00">
          <w:rPr>
            <w:rStyle w:val="Hyperlink"/>
          </w:rPr>
          <w:t>Minimum Income Standard UK</w:t>
        </w:r>
      </w:hyperlink>
      <w:r>
        <w:t xml:space="preserve"> (JRF, 2015); 29% increase on average across food, see DEFRA, </w:t>
      </w:r>
      <w:hyperlink r:id="rId5" w:history="1">
        <w:r w:rsidRPr="003939A2">
          <w:rPr>
            <w:rStyle w:val="Hyperlink"/>
          </w:rPr>
          <w:t>Food Statistics Pocketbook</w:t>
        </w:r>
      </w:hyperlink>
      <w:r>
        <w:t xml:space="preserve"> (DEFRA, 2016) </w:t>
      </w:r>
    </w:p>
  </w:endnote>
  <w:endnote w:id="5">
    <w:p w14:paraId="2F077F1E" w14:textId="337EC873" w:rsidR="002B679D" w:rsidRDefault="002B679D">
      <w:pPr>
        <w:pStyle w:val="EndnoteText"/>
      </w:pPr>
      <w:r>
        <w:rPr>
          <w:rStyle w:val="EndnoteReference"/>
        </w:rPr>
        <w:endnoteRef/>
      </w:r>
      <w:r>
        <w:t xml:space="preserve"> K McBride and S Purcell, </w:t>
      </w:r>
      <w:hyperlink r:id="rId6" w:history="1">
        <w:r w:rsidRPr="00DB1D16">
          <w:rPr>
            <w:rStyle w:val="Hyperlink"/>
          </w:rPr>
          <w:t>Food, Fuel and Finance: Tackling the poverty premium</w:t>
        </w:r>
      </w:hyperlink>
      <w:r>
        <w:t xml:space="preserve"> (Church Action on Poverty et al, 2014)</w:t>
      </w:r>
    </w:p>
  </w:endnote>
  <w:endnote w:id="6">
    <w:p w14:paraId="1D7A8922" w14:textId="545EA84B" w:rsidR="002B679D" w:rsidRDefault="002B679D">
      <w:pPr>
        <w:pStyle w:val="EndnoteText"/>
      </w:pPr>
      <w:r>
        <w:rPr>
          <w:rStyle w:val="EndnoteReference"/>
        </w:rPr>
        <w:endnoteRef/>
      </w:r>
      <w:r>
        <w:t xml:space="preserve"> F Douglas et al, </w:t>
      </w:r>
      <w:hyperlink r:id="rId7" w:history="1">
        <w:r w:rsidRPr="005F01A1">
          <w:rPr>
            <w:rStyle w:val="Hyperlink"/>
          </w:rPr>
          <w:t>The nature and extent of food poverty</w:t>
        </w:r>
      </w:hyperlink>
      <w:r>
        <w:t xml:space="preserve"> (NHS Health Scotland, 2015)</w:t>
      </w:r>
    </w:p>
  </w:endnote>
  <w:endnote w:id="7">
    <w:p w14:paraId="2AFA2E78" w14:textId="77777777" w:rsidR="002B679D" w:rsidRDefault="002B679D" w:rsidP="0065383A">
      <w:pPr>
        <w:pStyle w:val="EndnoteText"/>
      </w:pPr>
      <w:r>
        <w:rPr>
          <w:rStyle w:val="EndnoteReference"/>
        </w:rPr>
        <w:endnoteRef/>
      </w:r>
      <w:r>
        <w:t xml:space="preserve"> Trussell Trust, </w:t>
      </w:r>
      <w:hyperlink r:id="rId8" w:history="1">
        <w:proofErr w:type="spellStart"/>
        <w:r w:rsidRPr="008528A9">
          <w:rPr>
            <w:rStyle w:val="Hyperlink"/>
          </w:rPr>
          <w:t>Foodbank</w:t>
        </w:r>
        <w:proofErr w:type="spellEnd"/>
        <w:r w:rsidRPr="008528A9">
          <w:rPr>
            <w:rStyle w:val="Hyperlink"/>
          </w:rPr>
          <w:t xml:space="preserve"> use remains at record high – press release</w:t>
        </w:r>
      </w:hyperlink>
      <w:r>
        <w:t xml:space="preserve"> (Trussell Trust, 2016)</w:t>
      </w:r>
    </w:p>
  </w:endnote>
  <w:endnote w:id="8">
    <w:p w14:paraId="5AD58B22" w14:textId="66DE5F3D" w:rsidR="002B679D" w:rsidRDefault="002B679D" w:rsidP="0065383A">
      <w:pPr>
        <w:pStyle w:val="EndnoteText"/>
      </w:pPr>
      <w:r>
        <w:rPr>
          <w:rStyle w:val="EndnoteReference"/>
        </w:rPr>
        <w:endnoteRef/>
      </w:r>
      <w:r>
        <w:t xml:space="preserve"> Office for National Statistics, </w:t>
      </w:r>
      <w:hyperlink r:id="rId9" w:history="1">
        <w:r>
          <w:rPr>
            <w:rStyle w:val="Hyperlink"/>
          </w:rPr>
          <w:t>Households Below Average Income</w:t>
        </w:r>
        <w:r w:rsidRPr="00E72047">
          <w:rPr>
            <w:rStyle w:val="Hyperlink"/>
          </w:rPr>
          <w:t xml:space="preserve"> 2013/14</w:t>
        </w:r>
      </w:hyperlink>
      <w:r>
        <w:t xml:space="preserve"> (ONS, 2015); D Hirsch, </w:t>
      </w:r>
      <w:hyperlink r:id="rId10" w:history="1">
        <w:r w:rsidRPr="00231E00">
          <w:rPr>
            <w:rStyle w:val="Hyperlink"/>
          </w:rPr>
          <w:t>Minimum Income Standard UK</w:t>
        </w:r>
      </w:hyperlink>
      <w:r>
        <w:t xml:space="preserve"> (JRF, 2015)</w:t>
      </w:r>
    </w:p>
  </w:endnote>
  <w:endnote w:id="9">
    <w:p w14:paraId="4D477383" w14:textId="5A2B1108" w:rsidR="002B679D" w:rsidRDefault="002B679D" w:rsidP="0065383A">
      <w:pPr>
        <w:pStyle w:val="EndnoteText"/>
      </w:pPr>
      <w:r>
        <w:rPr>
          <w:rStyle w:val="EndnoteReference"/>
        </w:rPr>
        <w:endnoteRef/>
      </w:r>
      <w:r>
        <w:t xml:space="preserve"> ONS, </w:t>
      </w:r>
      <w:hyperlink r:id="rId11" w:history="1">
        <w:r w:rsidRPr="00E72047">
          <w:rPr>
            <w:rStyle w:val="Hyperlink"/>
          </w:rPr>
          <w:t>Households Below Average Income 1994/5 – 2013/14</w:t>
        </w:r>
      </w:hyperlink>
      <w:r>
        <w:t xml:space="preserve"> (ONS, 2015); 50% in Scotland, see SG, </w:t>
      </w:r>
      <w:hyperlink r:id="rId12" w:history="1">
        <w:r>
          <w:rPr>
            <w:rStyle w:val="Hyperlink"/>
          </w:rPr>
          <w:t xml:space="preserve">Poverty and income </w:t>
        </w:r>
        <w:r w:rsidRPr="00F92E0B">
          <w:rPr>
            <w:rStyle w:val="Hyperlink"/>
          </w:rPr>
          <w:t>inequality in Scotland: 2013/14</w:t>
        </w:r>
      </w:hyperlink>
      <w:r>
        <w:t xml:space="preserve"> (SG, 2015)</w:t>
      </w:r>
    </w:p>
  </w:endnote>
  <w:endnote w:id="10">
    <w:p w14:paraId="4B322254" w14:textId="6DA121AA" w:rsidR="002B679D" w:rsidRDefault="002B679D">
      <w:pPr>
        <w:pStyle w:val="EndnoteText"/>
      </w:pPr>
      <w:r>
        <w:rPr>
          <w:rStyle w:val="EndnoteReference"/>
        </w:rPr>
        <w:endnoteRef/>
      </w:r>
      <w:r>
        <w:t xml:space="preserve"> T Wilson and P </w:t>
      </w:r>
      <w:proofErr w:type="spellStart"/>
      <w:r>
        <w:t>Bivand</w:t>
      </w:r>
      <w:proofErr w:type="spellEnd"/>
      <w:r>
        <w:t xml:space="preserve">, </w:t>
      </w:r>
      <w:hyperlink r:id="rId13" w:history="1">
        <w:r w:rsidRPr="006A6B52">
          <w:rPr>
            <w:rStyle w:val="Hyperlink"/>
          </w:rPr>
          <w:t>Equitable Full Employment: Delivering jobs recovery for all</w:t>
        </w:r>
      </w:hyperlink>
      <w:r>
        <w:t xml:space="preserve"> (Trades Union Congress, 2014)</w:t>
      </w:r>
    </w:p>
  </w:endnote>
  <w:endnote w:id="11">
    <w:p w14:paraId="49275277" w14:textId="77777777" w:rsidR="002B679D" w:rsidRDefault="002B679D" w:rsidP="00F2685D">
      <w:pPr>
        <w:pStyle w:val="EndnoteText"/>
        <w:jc w:val="both"/>
      </w:pPr>
      <w:r w:rsidRPr="00F2685D">
        <w:rPr>
          <w:rStyle w:val="EndnoteReference"/>
        </w:rPr>
        <w:endnoteRef/>
      </w:r>
      <w:r w:rsidRPr="00F2685D">
        <w:t xml:space="preserve"> Living Wage Foundation, </w:t>
      </w:r>
      <w:hyperlink r:id="rId14" w:history="1">
        <w:r w:rsidRPr="00F2685D">
          <w:rPr>
            <w:rStyle w:val="Hyperlink"/>
          </w:rPr>
          <w:t>What is the living wage?</w:t>
        </w:r>
      </w:hyperlink>
      <w:r>
        <w:t xml:space="preserve"> (LWF, 2016) </w:t>
      </w:r>
    </w:p>
  </w:endnote>
  <w:endnote w:id="12">
    <w:p w14:paraId="04936BF6" w14:textId="3B94C408" w:rsidR="002B679D" w:rsidRDefault="002B679D" w:rsidP="0065383A">
      <w:pPr>
        <w:pStyle w:val="EndnoteText"/>
      </w:pPr>
      <w:r>
        <w:rPr>
          <w:rStyle w:val="EndnoteReference"/>
        </w:rPr>
        <w:endnoteRef/>
      </w:r>
      <w:r>
        <w:t xml:space="preserve"> R Griffiths et al, </w:t>
      </w:r>
      <w:hyperlink r:id="rId15" w:history="1">
        <w:r w:rsidRPr="009C68DB">
          <w:rPr>
            <w:rStyle w:val="Hyperlink"/>
          </w:rPr>
          <w:t>Food expenditure and nutritional quality over the Great Recession</w:t>
        </w:r>
      </w:hyperlink>
      <w:r>
        <w:t xml:space="preserve"> (Institute for Fiscal Studies, 2013)</w:t>
      </w:r>
    </w:p>
  </w:endnote>
  <w:endnote w:id="13">
    <w:p w14:paraId="26A16FD8" w14:textId="094599FC" w:rsidR="002B679D" w:rsidRDefault="002B679D" w:rsidP="0065383A">
      <w:pPr>
        <w:pStyle w:val="EndnoteText"/>
      </w:pPr>
      <w:r>
        <w:rPr>
          <w:rStyle w:val="EndnoteReference"/>
        </w:rPr>
        <w:endnoteRef/>
      </w:r>
      <w:r>
        <w:t xml:space="preserve"> ONS, </w:t>
      </w:r>
      <w:hyperlink r:id="rId16" w:history="1">
        <w:r w:rsidRPr="00B02388">
          <w:rPr>
            <w:rStyle w:val="Hyperlink"/>
          </w:rPr>
          <w:t xml:space="preserve">Estimates of employee jobs paid less than the living wage </w:t>
        </w:r>
      </w:hyperlink>
      <w:r>
        <w:t>(ONS, 2015)</w:t>
      </w:r>
    </w:p>
  </w:endnote>
  <w:endnote w:id="14">
    <w:p w14:paraId="1A4C8325" w14:textId="77777777" w:rsidR="002B679D" w:rsidRDefault="002B679D" w:rsidP="0065383A">
      <w:pPr>
        <w:pStyle w:val="EndnoteText"/>
      </w:pPr>
      <w:r>
        <w:rPr>
          <w:rStyle w:val="EndnoteReference"/>
        </w:rPr>
        <w:endnoteRef/>
      </w:r>
      <w:r>
        <w:t xml:space="preserve"> </w:t>
      </w:r>
      <w:r w:rsidRPr="00B02388">
        <w:rPr>
          <w:i/>
        </w:rPr>
        <w:t>Ibid</w:t>
      </w:r>
      <w:r>
        <w:t xml:space="preserve">, </w:t>
      </w:r>
    </w:p>
  </w:endnote>
  <w:endnote w:id="15">
    <w:p w14:paraId="044FD579" w14:textId="77777777" w:rsidR="002B679D" w:rsidRDefault="002B679D" w:rsidP="0065383A">
      <w:pPr>
        <w:pStyle w:val="EndnoteText"/>
      </w:pPr>
      <w:r>
        <w:rPr>
          <w:rStyle w:val="EndnoteReference"/>
        </w:rPr>
        <w:endnoteRef/>
      </w:r>
      <w:r>
        <w:t xml:space="preserve"> ONS, </w:t>
      </w:r>
      <w:hyperlink r:id="rId17" w:history="1">
        <w:r w:rsidRPr="001A6FB2">
          <w:rPr>
            <w:rStyle w:val="Hyperlink"/>
          </w:rPr>
          <w:t>UK Labour Market Statistical Bulletin</w:t>
        </w:r>
      </w:hyperlink>
      <w:r>
        <w:t xml:space="preserve"> (ONS, 2015)</w:t>
      </w:r>
    </w:p>
  </w:endnote>
  <w:endnote w:id="16">
    <w:p w14:paraId="05BD2AD3" w14:textId="77777777" w:rsidR="002B679D" w:rsidRDefault="002B679D" w:rsidP="0065383A">
      <w:pPr>
        <w:pStyle w:val="EndnoteText"/>
      </w:pPr>
      <w:r>
        <w:rPr>
          <w:rStyle w:val="EndnoteReference"/>
        </w:rPr>
        <w:endnoteRef/>
      </w:r>
      <w:r>
        <w:t xml:space="preserve"> ONS, </w:t>
      </w:r>
      <w:hyperlink r:id="rId18" w:anchor="tab-conclusions" w:history="1">
        <w:r w:rsidRPr="001A6FB2">
          <w:rPr>
            <w:rStyle w:val="Hyperlink"/>
          </w:rPr>
          <w:t>Contracts with no guaranteed hours</w:t>
        </w:r>
      </w:hyperlink>
      <w:r>
        <w:t xml:space="preserve"> (ONS, 2015)</w:t>
      </w:r>
    </w:p>
  </w:endnote>
  <w:endnote w:id="17">
    <w:p w14:paraId="4520860B" w14:textId="77777777" w:rsidR="002B679D" w:rsidRDefault="002B679D" w:rsidP="0065383A">
      <w:pPr>
        <w:pStyle w:val="EndnoteText"/>
      </w:pPr>
      <w:r>
        <w:rPr>
          <w:rStyle w:val="EndnoteReference"/>
        </w:rPr>
        <w:endnoteRef/>
      </w:r>
      <w:r>
        <w:t xml:space="preserve"> F Stuart et al, </w:t>
      </w:r>
      <w:hyperlink r:id="rId19" w:history="1">
        <w:r w:rsidRPr="00B02388">
          <w:rPr>
            <w:rStyle w:val="Hyperlink"/>
          </w:rPr>
          <w:t>What makes for decent work: Initial finding</w:t>
        </w:r>
      </w:hyperlink>
      <w:r>
        <w:t xml:space="preserve"> (UWS-Oxfam, 2016)</w:t>
      </w:r>
    </w:p>
  </w:endnote>
  <w:endnote w:id="18">
    <w:p w14:paraId="0BC31FFA" w14:textId="2F2168B3" w:rsidR="002B679D" w:rsidRDefault="002B679D" w:rsidP="0065383A">
      <w:pPr>
        <w:pStyle w:val="EndnoteText"/>
      </w:pPr>
      <w:r>
        <w:rPr>
          <w:rStyle w:val="EndnoteReference"/>
        </w:rPr>
        <w:endnoteRef/>
      </w:r>
      <w:r>
        <w:t xml:space="preserve"> </w:t>
      </w:r>
      <w:r w:rsidRPr="00FE21E9">
        <w:t>Estimated £20bn unclaimed each year, see D</w:t>
      </w:r>
      <w:r>
        <w:t xml:space="preserve">epartment of </w:t>
      </w:r>
      <w:r w:rsidRPr="00FE21E9">
        <w:t>W</w:t>
      </w:r>
      <w:r>
        <w:t xml:space="preserve">ork and </w:t>
      </w:r>
      <w:r w:rsidRPr="00FE21E9">
        <w:t>P</w:t>
      </w:r>
      <w:r>
        <w:t>ensions</w:t>
      </w:r>
      <w:r w:rsidRPr="00FE21E9">
        <w:t xml:space="preserve">, </w:t>
      </w:r>
      <w:hyperlink r:id="rId20" w:history="1">
        <w:r w:rsidRPr="00FE21E9">
          <w:rPr>
            <w:rStyle w:val="Hyperlink"/>
          </w:rPr>
          <w:t>Fraud and error in the Benefit System: 2013/14</w:t>
        </w:r>
      </w:hyperlink>
      <w:r w:rsidRPr="00FE21E9">
        <w:t xml:space="preserve"> (DWP, 2014)</w:t>
      </w:r>
    </w:p>
  </w:endnote>
  <w:endnote w:id="19">
    <w:p w14:paraId="57AE7457" w14:textId="77777777" w:rsidR="002B679D" w:rsidRDefault="002B679D">
      <w:pPr>
        <w:pStyle w:val="EndnoteText"/>
      </w:pPr>
      <w:r>
        <w:rPr>
          <w:rStyle w:val="EndnoteReference"/>
        </w:rPr>
        <w:endnoteRef/>
      </w:r>
      <w:r>
        <w:t xml:space="preserve"> R </w:t>
      </w:r>
      <w:proofErr w:type="spellStart"/>
      <w:r>
        <w:t>Loopstra</w:t>
      </w:r>
      <w:proofErr w:type="spellEnd"/>
      <w:r>
        <w:t xml:space="preserve"> et al, </w:t>
      </w:r>
      <w:hyperlink r:id="rId21" w:history="1">
        <w:r w:rsidRPr="00685D6F">
          <w:rPr>
            <w:rStyle w:val="Hyperlink"/>
          </w:rPr>
          <w:t>Do punitive approaches to unemployment benefit recipients increase welfare exit and employment? A cross-area analysis of UK sanctioning reforms</w:t>
        </w:r>
      </w:hyperlink>
      <w:r>
        <w:t xml:space="preserve"> (University of Oxford, 2015)</w:t>
      </w:r>
    </w:p>
  </w:endnote>
  <w:endnote w:id="20">
    <w:p w14:paraId="5AB20220" w14:textId="1B650563" w:rsidR="002B679D" w:rsidRDefault="002B679D" w:rsidP="0065383A">
      <w:pPr>
        <w:pStyle w:val="EndnoteText"/>
      </w:pPr>
      <w:r>
        <w:rPr>
          <w:rStyle w:val="EndnoteReference"/>
        </w:rPr>
        <w:endnoteRef/>
      </w:r>
      <w:r>
        <w:t xml:space="preserve"> Scottish Government, </w:t>
      </w:r>
      <w:hyperlink r:id="rId22" w:history="1">
        <w:r w:rsidRPr="00426A52">
          <w:rPr>
            <w:rStyle w:val="Hyperlink"/>
          </w:rPr>
          <w:t>New social security powers – press release</w:t>
        </w:r>
      </w:hyperlink>
      <w:r>
        <w:t xml:space="preserve"> (SG, 28 Feb 2016)</w:t>
      </w:r>
    </w:p>
  </w:endnote>
  <w:endnote w:id="21">
    <w:p w14:paraId="7A085B44" w14:textId="77777777" w:rsidR="002B679D" w:rsidRDefault="002B679D">
      <w:pPr>
        <w:pStyle w:val="EndnoteText"/>
      </w:pPr>
      <w:r>
        <w:rPr>
          <w:rStyle w:val="EndnoteReference"/>
        </w:rPr>
        <w:endnoteRef/>
      </w:r>
      <w:r>
        <w:t xml:space="preserve"> DWP, </w:t>
      </w:r>
      <w:hyperlink r:id="rId23" w:history="1">
        <w:r w:rsidRPr="0074573B">
          <w:rPr>
            <w:rStyle w:val="Hyperlink"/>
          </w:rPr>
          <w:t>Benefit Cap statistics: November 2015</w:t>
        </w:r>
      </w:hyperlink>
      <w:r>
        <w:t xml:space="preserve"> (DWP, 2016)</w:t>
      </w:r>
    </w:p>
  </w:endnote>
  <w:endnote w:id="22">
    <w:p w14:paraId="2DA23125" w14:textId="77777777" w:rsidR="002B679D" w:rsidRDefault="002B679D">
      <w:pPr>
        <w:pStyle w:val="EndnoteText"/>
      </w:pPr>
      <w:r>
        <w:rPr>
          <w:rStyle w:val="EndnoteReference"/>
        </w:rPr>
        <w:endnoteRef/>
      </w:r>
      <w:r>
        <w:t xml:space="preserve"> Citizens Advice, </w:t>
      </w:r>
      <w:hyperlink r:id="rId24" w:history="1">
        <w:r w:rsidRPr="00851800">
          <w:rPr>
            <w:rStyle w:val="Hyperlink"/>
          </w:rPr>
          <w:t>Citizens impact assessment: lowering the benefit cap</w:t>
        </w:r>
      </w:hyperlink>
      <w:r>
        <w:t xml:space="preserve"> (CA, 2015)</w:t>
      </w:r>
    </w:p>
  </w:endnote>
  <w:endnote w:id="23">
    <w:p w14:paraId="42443295" w14:textId="77777777" w:rsidR="002B679D" w:rsidRDefault="002B679D">
      <w:pPr>
        <w:pStyle w:val="EndnoteText"/>
      </w:pPr>
      <w:r>
        <w:rPr>
          <w:rStyle w:val="EndnoteReference"/>
        </w:rPr>
        <w:endnoteRef/>
      </w:r>
      <w:r>
        <w:t xml:space="preserve"> M Taylor, </w:t>
      </w:r>
      <w:hyperlink r:id="rId25" w:history="1">
        <w:r w:rsidRPr="00A063D3">
          <w:rPr>
            <w:rStyle w:val="Hyperlink"/>
          </w:rPr>
          <w:t>‘Vast social cleansing’ pushes tens of thousands of families out of London</w:t>
        </w:r>
      </w:hyperlink>
      <w:r>
        <w:t xml:space="preserve"> (The Guardian, 28 August 2015)</w:t>
      </w:r>
    </w:p>
  </w:endnote>
  <w:endnote w:id="24">
    <w:p w14:paraId="4D55454F" w14:textId="77777777" w:rsidR="002B679D" w:rsidRDefault="002B679D">
      <w:pPr>
        <w:pStyle w:val="EndnoteText"/>
      </w:pPr>
      <w:r>
        <w:rPr>
          <w:rStyle w:val="EndnoteReference"/>
        </w:rPr>
        <w:endnoteRef/>
      </w:r>
      <w:r>
        <w:t xml:space="preserve"> Citizens Advice, </w:t>
      </w:r>
      <w:hyperlink r:id="rId26" w:history="1">
        <w:r w:rsidRPr="00851800">
          <w:rPr>
            <w:rStyle w:val="Hyperlink"/>
          </w:rPr>
          <w:t>Citizens impact assessment: lowering the benefit cap</w:t>
        </w:r>
      </w:hyperlink>
      <w:r>
        <w:t xml:space="preserve"> (CA, 2015)</w:t>
      </w:r>
    </w:p>
  </w:endnote>
  <w:endnote w:id="25">
    <w:p w14:paraId="5B50D6F7" w14:textId="77777777" w:rsidR="002B679D" w:rsidRDefault="002B679D">
      <w:pPr>
        <w:pStyle w:val="EndnoteText"/>
      </w:pPr>
      <w:r>
        <w:rPr>
          <w:rStyle w:val="EndnoteReference"/>
        </w:rPr>
        <w:endnoteRef/>
      </w:r>
      <w:r>
        <w:t xml:space="preserve"> Hurley and others v Secretary of State for Work and Pensions [2015] EWHC 3382</w:t>
      </w:r>
    </w:p>
  </w:endnote>
  <w:endnote w:id="26">
    <w:p w14:paraId="4753B7D1" w14:textId="77777777" w:rsidR="002B679D" w:rsidRDefault="002B679D">
      <w:pPr>
        <w:pStyle w:val="EndnoteText"/>
      </w:pPr>
      <w:r>
        <w:rPr>
          <w:rStyle w:val="EndnoteReference"/>
        </w:rPr>
        <w:endnoteRef/>
      </w:r>
      <w:r>
        <w:t xml:space="preserve"> R (on the application of SG and others (previously JS)) v Secretary of State for Work and Pensions [2015] UKSC 16</w:t>
      </w:r>
    </w:p>
  </w:endnote>
  <w:endnote w:id="27">
    <w:p w14:paraId="71BFB0F4" w14:textId="77777777" w:rsidR="002B679D" w:rsidRDefault="002B679D">
      <w:pPr>
        <w:pStyle w:val="EndnoteText"/>
      </w:pPr>
      <w:r>
        <w:rPr>
          <w:rStyle w:val="EndnoteReference"/>
        </w:rPr>
        <w:endnoteRef/>
      </w:r>
      <w:r>
        <w:t xml:space="preserve"> E Brawn, </w:t>
      </w:r>
      <w:hyperlink r:id="rId27" w:history="1">
        <w:r w:rsidRPr="00343D02">
          <w:rPr>
            <w:rStyle w:val="Hyperlink"/>
          </w:rPr>
          <w:t>Priced out: ending the financial penalty of disability by 2020</w:t>
        </w:r>
      </w:hyperlink>
      <w:r>
        <w:t xml:space="preserve"> (Scope, 2014)</w:t>
      </w:r>
    </w:p>
  </w:endnote>
  <w:endnote w:id="28">
    <w:p w14:paraId="61F46D49" w14:textId="77777777" w:rsidR="002B679D" w:rsidRDefault="002B679D" w:rsidP="004D547B">
      <w:pPr>
        <w:pStyle w:val="EndnoteText"/>
        <w:tabs>
          <w:tab w:val="left" w:pos="3796"/>
        </w:tabs>
      </w:pPr>
      <w:r>
        <w:rPr>
          <w:rStyle w:val="EndnoteReference"/>
        </w:rPr>
        <w:endnoteRef/>
      </w:r>
      <w:r>
        <w:t xml:space="preserve"> </w:t>
      </w:r>
      <w:hyperlink r:id="rId28" w:history="1">
        <w:r w:rsidRPr="00334FBB">
          <w:rPr>
            <w:rStyle w:val="Hyperlink"/>
          </w:rPr>
          <w:t>R (A) v Secretary of State for Work and Pensions, and R (Rutherford and others) v Secretary of State for Work and Pensions</w:t>
        </w:r>
      </w:hyperlink>
      <w:r>
        <w:t xml:space="preserve"> [2016] EWCA CIV 29</w:t>
      </w:r>
    </w:p>
  </w:endnote>
  <w:endnote w:id="29">
    <w:p w14:paraId="7911720B" w14:textId="77777777" w:rsidR="002B679D" w:rsidRDefault="002B679D">
      <w:pPr>
        <w:pStyle w:val="EndnoteText"/>
      </w:pPr>
      <w:r>
        <w:rPr>
          <w:rStyle w:val="EndnoteReference"/>
        </w:rPr>
        <w:endnoteRef/>
      </w:r>
      <w:r>
        <w:t xml:space="preserve"> Scottish Parliament Information Centre, </w:t>
      </w:r>
      <w:hyperlink r:id="rId29" w:history="1">
        <w:r w:rsidRPr="004D547B">
          <w:rPr>
            <w:rStyle w:val="Hyperlink"/>
          </w:rPr>
          <w:t>The ‘Bedroom Tax’</w:t>
        </w:r>
      </w:hyperlink>
      <w:r>
        <w:t xml:space="preserve"> (</w:t>
      </w:r>
      <w:proofErr w:type="spellStart"/>
      <w:r>
        <w:t>SPICe</w:t>
      </w:r>
      <w:proofErr w:type="spellEnd"/>
      <w:r>
        <w:t>, 2014)</w:t>
      </w:r>
    </w:p>
  </w:endnote>
  <w:endnote w:id="30">
    <w:p w14:paraId="2D50F8BF" w14:textId="77777777" w:rsidR="002B679D" w:rsidRDefault="002B679D">
      <w:pPr>
        <w:pStyle w:val="EndnoteText"/>
      </w:pPr>
      <w:r>
        <w:rPr>
          <w:rStyle w:val="EndnoteReference"/>
        </w:rPr>
        <w:endnoteRef/>
      </w:r>
      <w:r>
        <w:t xml:space="preserve"> R </w:t>
      </w:r>
      <w:proofErr w:type="spellStart"/>
      <w:r>
        <w:t>Loopstra</w:t>
      </w:r>
      <w:proofErr w:type="spellEnd"/>
      <w:r>
        <w:t xml:space="preserve"> et al, </w:t>
      </w:r>
      <w:hyperlink r:id="rId30" w:history="1">
        <w:r w:rsidRPr="00685D6F">
          <w:rPr>
            <w:rStyle w:val="Hyperlink"/>
          </w:rPr>
          <w:t>Do punitive approaches to unemployment benefit recipients increase welfare exit and employment? A cross-area analysis of UK sanctioning reforms</w:t>
        </w:r>
      </w:hyperlink>
      <w:r>
        <w:t xml:space="preserve"> (University of Oxford, 2015); M Adler, A New Leviathan: Benefit Sanctions in the 21</w:t>
      </w:r>
      <w:r w:rsidRPr="00426A52">
        <w:rPr>
          <w:vertAlign w:val="superscript"/>
        </w:rPr>
        <w:t>st</w:t>
      </w:r>
      <w:r>
        <w:t xml:space="preserve"> Century (2016) 43(2) Journal of Law and Society 195</w:t>
      </w:r>
    </w:p>
  </w:endnote>
  <w:endnote w:id="31">
    <w:p w14:paraId="16638ED5" w14:textId="77777777" w:rsidR="002B679D" w:rsidRDefault="002B679D" w:rsidP="00B777EC">
      <w:pPr>
        <w:pStyle w:val="EndnoteText"/>
      </w:pPr>
      <w:r>
        <w:rPr>
          <w:rStyle w:val="EndnoteReference"/>
        </w:rPr>
        <w:endnoteRef/>
      </w:r>
      <w:r>
        <w:t xml:space="preserve"> D </w:t>
      </w:r>
      <w:proofErr w:type="spellStart"/>
      <w:r>
        <w:t>Etherington</w:t>
      </w:r>
      <w:proofErr w:type="spellEnd"/>
      <w:r>
        <w:t xml:space="preserve"> and A Daguerre, </w:t>
      </w:r>
      <w:hyperlink r:id="rId31" w:history="1">
        <w:r w:rsidRPr="00735DEF">
          <w:rPr>
            <w:rStyle w:val="Hyperlink"/>
          </w:rPr>
          <w:t>Work first policies and benefit conditionality: Reinforcing poverty and social exclusion?</w:t>
        </w:r>
      </w:hyperlink>
      <w:r>
        <w:t xml:space="preserve"> (</w:t>
      </w:r>
      <w:proofErr w:type="spellStart"/>
      <w:r>
        <w:t>Midldlesex</w:t>
      </w:r>
      <w:proofErr w:type="spellEnd"/>
      <w:r>
        <w:t xml:space="preserve"> University London, 2015)</w:t>
      </w:r>
    </w:p>
  </w:endnote>
  <w:endnote w:id="32">
    <w:p w14:paraId="046B33E2" w14:textId="77777777" w:rsidR="002B679D" w:rsidRDefault="002B679D">
      <w:pPr>
        <w:pStyle w:val="EndnoteText"/>
      </w:pPr>
      <w:r>
        <w:rPr>
          <w:rStyle w:val="EndnoteReference"/>
        </w:rPr>
        <w:endnoteRef/>
      </w:r>
      <w:r>
        <w:t xml:space="preserve"> D Hirsch, </w:t>
      </w:r>
      <w:hyperlink r:id="rId32" w:history="1">
        <w:r w:rsidRPr="00231E00">
          <w:rPr>
            <w:rStyle w:val="Hyperlink"/>
          </w:rPr>
          <w:t>Minimum Income Standard UK</w:t>
        </w:r>
      </w:hyperlink>
      <w:r>
        <w:t xml:space="preserve"> (JRF, 2015) – see specifically Table 2</w:t>
      </w:r>
    </w:p>
  </w:endnote>
  <w:endnote w:id="33">
    <w:p w14:paraId="1FB228EA" w14:textId="77777777" w:rsidR="002B679D" w:rsidRDefault="002B679D">
      <w:pPr>
        <w:pStyle w:val="EndnoteText"/>
      </w:pPr>
      <w:r>
        <w:rPr>
          <w:rStyle w:val="EndnoteReference"/>
        </w:rPr>
        <w:endnoteRef/>
      </w:r>
      <w:r>
        <w:t xml:space="preserve"> M Oakley, </w:t>
      </w:r>
      <w:hyperlink r:id="rId33" w:history="1">
        <w:r w:rsidRPr="000D2B5C">
          <w:rPr>
            <w:rStyle w:val="Hyperlink"/>
          </w:rPr>
          <w:t>Independent review of the operation of Job-seeker’s Allowance sanctions</w:t>
        </w:r>
      </w:hyperlink>
      <w:r>
        <w:t xml:space="preserve"> (DWP, 2014)</w:t>
      </w:r>
    </w:p>
  </w:endnote>
  <w:endnote w:id="34">
    <w:p w14:paraId="10D85B3F" w14:textId="77777777" w:rsidR="002B679D" w:rsidRDefault="002B679D">
      <w:pPr>
        <w:pStyle w:val="EndnoteText"/>
      </w:pPr>
      <w:r>
        <w:rPr>
          <w:rStyle w:val="EndnoteReference"/>
        </w:rPr>
        <w:endnoteRef/>
      </w:r>
      <w:r>
        <w:t xml:space="preserve"> D Webster, </w:t>
      </w:r>
      <w:hyperlink r:id="rId34" w:history="1">
        <w:r w:rsidRPr="0009465B">
          <w:rPr>
            <w:rStyle w:val="Hyperlink"/>
          </w:rPr>
          <w:t>Briefing: The DWP’s JSA/ESA Sanctions Release Feb</w:t>
        </w:r>
      </w:hyperlink>
      <w:r>
        <w:t xml:space="preserve"> (University of Glasgow, 2016); F </w:t>
      </w:r>
      <w:proofErr w:type="spellStart"/>
      <w:r>
        <w:t>McHardy</w:t>
      </w:r>
      <w:proofErr w:type="spellEnd"/>
      <w:r>
        <w:t>, Welfare Tracker Briefing: The wellbeing of staff in support agencies (Poverty Alliance, 2015)</w:t>
      </w:r>
    </w:p>
  </w:endnote>
  <w:endnote w:id="35">
    <w:p w14:paraId="5731493E" w14:textId="77777777" w:rsidR="002B679D" w:rsidRDefault="002B679D" w:rsidP="00CD26F7">
      <w:pPr>
        <w:pStyle w:val="EndnoteText"/>
      </w:pPr>
      <w:r>
        <w:rPr>
          <w:rStyle w:val="EndnoteReference"/>
        </w:rPr>
        <w:endnoteRef/>
      </w:r>
      <w:r>
        <w:t xml:space="preserve"> Citizens Advice, </w:t>
      </w:r>
      <w:hyperlink r:id="rId35" w:history="1">
        <w:r w:rsidRPr="00494B23">
          <w:rPr>
            <w:rStyle w:val="Hyperlink"/>
          </w:rPr>
          <w:t>Submission to the 5</w:t>
        </w:r>
        <w:r w:rsidRPr="00494B23">
          <w:rPr>
            <w:rStyle w:val="Hyperlink"/>
            <w:vertAlign w:val="superscript"/>
          </w:rPr>
          <w:t>th</w:t>
        </w:r>
        <w:r w:rsidRPr="00494B23">
          <w:rPr>
            <w:rStyle w:val="Hyperlink"/>
          </w:rPr>
          <w:t xml:space="preserve"> independent review of the Work Capability</w:t>
        </w:r>
      </w:hyperlink>
      <w:r>
        <w:t xml:space="preserve"> Assessment (CA, 2014)</w:t>
      </w:r>
    </w:p>
  </w:endnote>
  <w:endnote w:id="36">
    <w:p w14:paraId="18D3A2B2" w14:textId="77777777" w:rsidR="002B679D" w:rsidRDefault="002B679D">
      <w:pPr>
        <w:pStyle w:val="EndnoteText"/>
      </w:pPr>
      <w:r>
        <w:rPr>
          <w:rStyle w:val="EndnoteReference"/>
        </w:rPr>
        <w:endnoteRef/>
      </w:r>
      <w:r>
        <w:t xml:space="preserve"> DWP, </w:t>
      </w:r>
      <w:hyperlink r:id="rId36" w:history="1">
        <w:r w:rsidRPr="00F03AFF">
          <w:rPr>
            <w:rStyle w:val="Hyperlink"/>
          </w:rPr>
          <w:t>Personal Independence Payment: Reassessment and Impacts</w:t>
        </w:r>
      </w:hyperlink>
      <w:r>
        <w:t xml:space="preserve"> (DWP, 2012) Table 6 estimates 960,000 people</w:t>
      </w:r>
    </w:p>
  </w:endnote>
  <w:endnote w:id="37">
    <w:p w14:paraId="0A1551F8" w14:textId="77777777" w:rsidR="002B679D" w:rsidRDefault="002B679D">
      <w:pPr>
        <w:pStyle w:val="EndnoteText"/>
      </w:pPr>
      <w:r>
        <w:rPr>
          <w:rStyle w:val="EndnoteReference"/>
        </w:rPr>
        <w:endnoteRef/>
      </w:r>
      <w:r>
        <w:t xml:space="preserve"> A </w:t>
      </w:r>
      <w:proofErr w:type="spellStart"/>
      <w:r>
        <w:t>Roulstone</w:t>
      </w:r>
      <w:proofErr w:type="spellEnd"/>
      <w:r>
        <w:t xml:space="preserve">, </w:t>
      </w:r>
      <w:hyperlink r:id="rId37" w:history="1">
        <w:r>
          <w:rPr>
            <w:rStyle w:val="Hyperlink"/>
          </w:rPr>
          <w:t>PIP</w:t>
        </w:r>
        <w:r w:rsidRPr="00563399">
          <w:rPr>
            <w:rStyle w:val="Hyperlink"/>
          </w:rPr>
          <w:t>, welfare reform and the shrinking disability category</w:t>
        </w:r>
      </w:hyperlink>
      <w:r>
        <w:t xml:space="preserve"> (2015) 30(5) Disability and Society 673</w:t>
      </w:r>
    </w:p>
  </w:endnote>
  <w:endnote w:id="38">
    <w:p w14:paraId="6EF65F9F" w14:textId="77777777" w:rsidR="002B679D" w:rsidRDefault="002B679D" w:rsidP="00532295">
      <w:pPr>
        <w:pStyle w:val="EndnoteText"/>
      </w:pPr>
      <w:r>
        <w:rPr>
          <w:rStyle w:val="EndnoteReference"/>
        </w:rPr>
        <w:endnoteRef/>
      </w:r>
      <w:r>
        <w:t xml:space="preserve"> National Audit Office, </w:t>
      </w:r>
      <w:hyperlink r:id="rId38" w:history="1">
        <w:r w:rsidRPr="007968C0">
          <w:rPr>
            <w:rStyle w:val="Hyperlink"/>
          </w:rPr>
          <w:t>Contracted out health and disability assessments</w:t>
        </w:r>
      </w:hyperlink>
      <w:r>
        <w:t xml:space="preserve"> (NAO, 2016) HC 609; </w:t>
      </w:r>
    </w:p>
  </w:endnote>
  <w:endnote w:id="39">
    <w:p w14:paraId="7CBF505E" w14:textId="77777777" w:rsidR="002B679D" w:rsidRDefault="002B679D">
      <w:pPr>
        <w:pStyle w:val="EndnoteText"/>
      </w:pPr>
      <w:r>
        <w:rPr>
          <w:rStyle w:val="EndnoteReference"/>
        </w:rPr>
        <w:endnoteRef/>
      </w:r>
      <w:r>
        <w:t xml:space="preserve"> P Grey</w:t>
      </w:r>
      <w:hyperlink r:id="rId39" w:history="1">
        <w:r>
          <w:rPr>
            <w:rStyle w:val="Hyperlink"/>
          </w:rPr>
          <w:t>, I</w:t>
        </w:r>
        <w:r w:rsidRPr="002F4F59">
          <w:rPr>
            <w:rStyle w:val="Hyperlink"/>
          </w:rPr>
          <w:t>ndependent</w:t>
        </w:r>
        <w:r>
          <w:rPr>
            <w:rStyle w:val="Hyperlink"/>
          </w:rPr>
          <w:t xml:space="preserve"> review of</w:t>
        </w:r>
        <w:r w:rsidRPr="002F4F59">
          <w:rPr>
            <w:rStyle w:val="Hyperlink"/>
          </w:rPr>
          <w:t xml:space="preserve"> PIP</w:t>
        </w:r>
      </w:hyperlink>
      <w:r>
        <w:t xml:space="preserve"> (2014</w:t>
      </w:r>
      <w:r w:rsidRPr="00FE21E9">
        <w:t xml:space="preserve">); Channel 4 Dispatches, </w:t>
      </w:r>
      <w:hyperlink r:id="rId40" w:history="1">
        <w:r w:rsidRPr="00FE21E9">
          <w:rPr>
            <w:rStyle w:val="Hyperlink"/>
          </w:rPr>
          <w:t>The Great Benefits Row</w:t>
        </w:r>
      </w:hyperlink>
      <w:r w:rsidRPr="00FE21E9">
        <w:t xml:space="preserve"> (Channel 4, 11 April 2016)</w:t>
      </w:r>
    </w:p>
  </w:endnote>
  <w:endnote w:id="40">
    <w:p w14:paraId="527B1EDB" w14:textId="77777777" w:rsidR="002B679D" w:rsidRDefault="002B679D">
      <w:pPr>
        <w:pStyle w:val="EndnoteText"/>
      </w:pPr>
      <w:r>
        <w:rPr>
          <w:rStyle w:val="EndnoteReference"/>
        </w:rPr>
        <w:endnoteRef/>
      </w:r>
      <w:r>
        <w:t xml:space="preserve"> DWP, </w:t>
      </w:r>
      <w:hyperlink r:id="rId41" w:history="1">
        <w:r w:rsidRPr="002F4F59">
          <w:rPr>
            <w:rStyle w:val="Hyperlink"/>
          </w:rPr>
          <w:t>Personal Independence Payment: Statistical Ad Hoc – up to March 2015</w:t>
        </w:r>
      </w:hyperlink>
      <w:r>
        <w:t xml:space="preserve"> (DWP, 2015)</w:t>
      </w:r>
    </w:p>
  </w:endnote>
  <w:endnote w:id="41">
    <w:p w14:paraId="585BA960" w14:textId="77777777" w:rsidR="002B679D" w:rsidRDefault="002B679D">
      <w:pPr>
        <w:pStyle w:val="EndnoteText"/>
      </w:pPr>
      <w:r>
        <w:rPr>
          <w:rStyle w:val="EndnoteReference"/>
        </w:rPr>
        <w:endnoteRef/>
      </w:r>
      <w:r>
        <w:t xml:space="preserve"> </w:t>
      </w:r>
      <w:hyperlink r:id="rId42" w:history="1">
        <w:r w:rsidRPr="0011594F">
          <w:rPr>
            <w:rStyle w:val="Hyperlink"/>
          </w:rPr>
          <w:t>R (on the application of Ms C and Mr W) v Secretary of State for Work and Pensions</w:t>
        </w:r>
      </w:hyperlink>
      <w:r>
        <w:t xml:space="preserve"> [2015] EWHC 1607; DWP, </w:t>
      </w:r>
      <w:hyperlink r:id="rId43" w:history="1">
        <w:r w:rsidRPr="004E0ED7">
          <w:rPr>
            <w:rStyle w:val="Hyperlink"/>
          </w:rPr>
          <w:t>PIP</w:t>
        </w:r>
        <w:r>
          <w:rPr>
            <w:rStyle w:val="Hyperlink"/>
          </w:rPr>
          <w:t>:</w:t>
        </w:r>
        <w:r w:rsidRPr="004E0ED7">
          <w:rPr>
            <w:rStyle w:val="Hyperlink"/>
          </w:rPr>
          <w:t xml:space="preserve"> official statistics to January 2016</w:t>
        </w:r>
      </w:hyperlink>
      <w:r>
        <w:t xml:space="preserve"> (DWP, 2016)</w:t>
      </w:r>
    </w:p>
  </w:endnote>
  <w:endnote w:id="42">
    <w:p w14:paraId="4F7D9E57" w14:textId="77777777" w:rsidR="002B679D" w:rsidRDefault="002B679D" w:rsidP="0011594F">
      <w:pPr>
        <w:pStyle w:val="EndnoteText"/>
      </w:pPr>
      <w:r>
        <w:rPr>
          <w:rStyle w:val="EndnoteReference"/>
        </w:rPr>
        <w:endnoteRef/>
      </w:r>
      <w:r>
        <w:t xml:space="preserve"> HC Public Accounts Committee, </w:t>
      </w:r>
      <w:hyperlink r:id="rId44" w:history="1">
        <w:r w:rsidRPr="0006703E">
          <w:rPr>
            <w:rStyle w:val="Hyperlink"/>
          </w:rPr>
          <w:t>Contracted out health and disability assessments</w:t>
        </w:r>
      </w:hyperlink>
      <w:r>
        <w:t xml:space="preserve"> (HC, 2016) HC 727</w:t>
      </w:r>
    </w:p>
  </w:endnote>
  <w:endnote w:id="43">
    <w:p w14:paraId="213060F9" w14:textId="77777777" w:rsidR="002B679D" w:rsidRDefault="002B679D" w:rsidP="007C11F6">
      <w:pPr>
        <w:pStyle w:val="EndnoteText"/>
      </w:pPr>
      <w:r>
        <w:rPr>
          <w:rStyle w:val="EndnoteReference"/>
        </w:rPr>
        <w:endnoteRef/>
      </w:r>
      <w:r>
        <w:t xml:space="preserve"> Secretary of State for Work and Pensions, Iain Duncan Smith, resignation letter </w:t>
      </w:r>
      <w:hyperlink r:id="rId45" w:history="1">
        <w:r w:rsidRPr="005251E8">
          <w:rPr>
            <w:rStyle w:val="Hyperlink"/>
          </w:rPr>
          <w:t>on BBC website</w:t>
        </w:r>
      </w:hyperlink>
      <w:r>
        <w:t xml:space="preserve"> (18 March 2016); Statement from Secretary of State for Work and Pensions, Stephen </w:t>
      </w:r>
      <w:proofErr w:type="spellStart"/>
      <w:r>
        <w:t>Crabb</w:t>
      </w:r>
      <w:proofErr w:type="spellEnd"/>
      <w:r>
        <w:t xml:space="preserve"> on </w:t>
      </w:r>
      <w:hyperlink r:id="rId46" w:history="1">
        <w:r w:rsidRPr="0088265C">
          <w:rPr>
            <w:rStyle w:val="Hyperlink"/>
          </w:rPr>
          <w:t>Government website</w:t>
        </w:r>
      </w:hyperlink>
      <w:r>
        <w:t xml:space="preserve"> (21 March 2016)</w:t>
      </w:r>
    </w:p>
  </w:endnote>
  <w:endnote w:id="44">
    <w:p w14:paraId="5805037A" w14:textId="77777777" w:rsidR="002B679D" w:rsidRDefault="002B679D" w:rsidP="00C670BA">
      <w:pPr>
        <w:pStyle w:val="EndnoteText"/>
      </w:pPr>
      <w:r>
        <w:rPr>
          <w:rStyle w:val="EndnoteReference"/>
        </w:rPr>
        <w:endnoteRef/>
      </w:r>
      <w:r>
        <w:t xml:space="preserve"> National Audit Office, </w:t>
      </w:r>
      <w:hyperlink r:id="rId47" w:history="1">
        <w:r w:rsidRPr="007968C0">
          <w:rPr>
            <w:rStyle w:val="Hyperlink"/>
          </w:rPr>
          <w:t>Contracted out health and disability assessments</w:t>
        </w:r>
      </w:hyperlink>
      <w:r>
        <w:t xml:space="preserve"> (NAO, 2016) HC 609; </w:t>
      </w:r>
    </w:p>
  </w:endnote>
  <w:endnote w:id="45">
    <w:p w14:paraId="5363430D" w14:textId="77777777" w:rsidR="002B679D" w:rsidRDefault="002B679D">
      <w:pPr>
        <w:pStyle w:val="EndnoteText"/>
      </w:pPr>
      <w:r>
        <w:rPr>
          <w:rStyle w:val="EndnoteReference"/>
        </w:rPr>
        <w:endnoteRef/>
      </w:r>
      <w:r>
        <w:t xml:space="preserve"> Scottish Government, </w:t>
      </w:r>
      <w:hyperlink r:id="rId48" w:history="1">
        <w:r w:rsidRPr="003E2F8B">
          <w:rPr>
            <w:rStyle w:val="Hyperlink"/>
          </w:rPr>
          <w:t>Call to halt benefits proposals</w:t>
        </w:r>
      </w:hyperlink>
      <w:r>
        <w:t xml:space="preserve"> (SG, 29 January 2016)</w:t>
      </w:r>
    </w:p>
  </w:endnote>
  <w:endnote w:id="46">
    <w:p w14:paraId="22101A7F" w14:textId="77777777" w:rsidR="002B679D" w:rsidRDefault="002B679D">
      <w:pPr>
        <w:pStyle w:val="EndnoteText"/>
      </w:pPr>
      <w:r>
        <w:rPr>
          <w:rStyle w:val="EndnoteReference"/>
        </w:rPr>
        <w:endnoteRef/>
      </w:r>
      <w:r>
        <w:t xml:space="preserve"> Scottish Government, </w:t>
      </w:r>
      <w:hyperlink r:id="rId49" w:history="1">
        <w:r w:rsidRPr="007C11F6">
          <w:rPr>
            <w:rStyle w:val="Hyperlink"/>
          </w:rPr>
          <w:t>Help to access disability benefit – press release</w:t>
        </w:r>
      </w:hyperlink>
      <w:r>
        <w:t xml:space="preserve"> (SG, 1 October 2015)</w:t>
      </w:r>
    </w:p>
  </w:endnote>
  <w:endnote w:id="47">
    <w:p w14:paraId="5ED54CA2" w14:textId="77777777" w:rsidR="002B679D" w:rsidRDefault="002B679D" w:rsidP="0065383A">
      <w:pPr>
        <w:pStyle w:val="EndnoteText"/>
      </w:pPr>
      <w:r>
        <w:rPr>
          <w:rStyle w:val="EndnoteReference"/>
        </w:rPr>
        <w:endnoteRef/>
      </w:r>
      <w:r>
        <w:t xml:space="preserve"> National Federation of ALMOs, </w:t>
      </w:r>
      <w:hyperlink r:id="rId50" w:history="1">
        <w:r w:rsidRPr="00D87915">
          <w:rPr>
            <w:rStyle w:val="Hyperlink"/>
          </w:rPr>
          <w:t>Welfare Reform survey findings</w:t>
        </w:r>
      </w:hyperlink>
      <w:r>
        <w:t xml:space="preserve"> (NFA and ARCH, 2015)</w:t>
      </w:r>
    </w:p>
  </w:endnote>
  <w:endnote w:id="48">
    <w:p w14:paraId="37E9BC2B" w14:textId="77777777" w:rsidR="002B679D" w:rsidRDefault="002B679D" w:rsidP="0065383A">
      <w:pPr>
        <w:pStyle w:val="EndnoteText"/>
      </w:pPr>
      <w:r>
        <w:rPr>
          <w:rStyle w:val="EndnoteReference"/>
        </w:rPr>
        <w:endnoteRef/>
      </w:r>
      <w:r>
        <w:t xml:space="preserve"> Citizens Advice Bureaux, </w:t>
      </w:r>
      <w:hyperlink r:id="rId51" w:history="1">
        <w:r w:rsidRPr="00D87915">
          <w:rPr>
            <w:rStyle w:val="Hyperlink"/>
          </w:rPr>
          <w:t>Universal credit managing migration pilot</w:t>
        </w:r>
      </w:hyperlink>
      <w:r>
        <w:t xml:space="preserve"> (CAB, 2013) </w:t>
      </w:r>
    </w:p>
  </w:endnote>
  <w:endnote w:id="49">
    <w:p w14:paraId="1CE484E1" w14:textId="77777777" w:rsidR="002B679D" w:rsidRDefault="002B679D" w:rsidP="0065383A">
      <w:pPr>
        <w:pStyle w:val="EndnoteText"/>
      </w:pPr>
      <w:r>
        <w:rPr>
          <w:rStyle w:val="EndnoteReference"/>
        </w:rPr>
        <w:endnoteRef/>
      </w:r>
      <w:r>
        <w:t xml:space="preserve"> National Federation of ALMOs, </w:t>
      </w:r>
      <w:hyperlink r:id="rId52" w:history="1">
        <w:r w:rsidRPr="00D87915">
          <w:rPr>
            <w:rStyle w:val="Hyperlink"/>
          </w:rPr>
          <w:t>Welfare Reform survey findings</w:t>
        </w:r>
      </w:hyperlink>
      <w:r>
        <w:t xml:space="preserve"> (NFA and ARCH, 2015)</w:t>
      </w:r>
    </w:p>
  </w:endnote>
  <w:endnote w:id="50">
    <w:p w14:paraId="05CA7B9E" w14:textId="77777777" w:rsidR="002B679D" w:rsidRDefault="002B679D" w:rsidP="0065383A">
      <w:pPr>
        <w:pStyle w:val="EndnoteText"/>
      </w:pPr>
      <w:r>
        <w:rPr>
          <w:rStyle w:val="EndnoteReference"/>
        </w:rPr>
        <w:endnoteRef/>
      </w:r>
      <w:r>
        <w:t xml:space="preserve"> D </w:t>
      </w:r>
      <w:proofErr w:type="spellStart"/>
      <w:r>
        <w:t>Etherington</w:t>
      </w:r>
      <w:proofErr w:type="spellEnd"/>
      <w:r>
        <w:t xml:space="preserve"> and A Daguerre, </w:t>
      </w:r>
      <w:hyperlink r:id="rId53" w:history="1">
        <w:r w:rsidRPr="00735DEF">
          <w:rPr>
            <w:rStyle w:val="Hyperlink"/>
          </w:rPr>
          <w:t>Work first policies and benefit conditionality: Reinforcing poverty and social exclusion?</w:t>
        </w:r>
      </w:hyperlink>
      <w:r>
        <w:t xml:space="preserve"> (</w:t>
      </w:r>
      <w:proofErr w:type="spellStart"/>
      <w:r>
        <w:t>Midldlesex</w:t>
      </w:r>
      <w:proofErr w:type="spellEnd"/>
      <w:r>
        <w:t xml:space="preserve"> University London, 2015) </w:t>
      </w:r>
    </w:p>
  </w:endnote>
  <w:endnote w:id="51">
    <w:p w14:paraId="43F501A3" w14:textId="77777777" w:rsidR="002B679D" w:rsidRDefault="002B679D" w:rsidP="0065383A">
      <w:pPr>
        <w:pStyle w:val="EndnoteText"/>
      </w:pPr>
      <w:r>
        <w:rPr>
          <w:rStyle w:val="EndnoteReference"/>
        </w:rPr>
        <w:endnoteRef/>
      </w:r>
      <w:r>
        <w:t xml:space="preserve"> </w:t>
      </w:r>
      <w:r w:rsidRPr="00B6706C">
        <w:rPr>
          <w:i/>
        </w:rPr>
        <w:t>Ibid</w:t>
      </w:r>
    </w:p>
  </w:endnote>
  <w:endnote w:id="52">
    <w:p w14:paraId="294CAE9F" w14:textId="77777777" w:rsidR="002B679D" w:rsidRDefault="002B679D" w:rsidP="004E0F75">
      <w:pPr>
        <w:pStyle w:val="EndnoteText"/>
      </w:pPr>
      <w:r w:rsidRPr="00FE21E9">
        <w:rPr>
          <w:rStyle w:val="EndnoteReference"/>
        </w:rPr>
        <w:endnoteRef/>
      </w:r>
      <w:r w:rsidRPr="00FE21E9">
        <w:t xml:space="preserve"> Cabinet Office, </w:t>
      </w:r>
      <w:hyperlink r:id="rId54" w:history="1">
        <w:r w:rsidRPr="00FE21E9">
          <w:rPr>
            <w:rStyle w:val="Hyperlink"/>
          </w:rPr>
          <w:t>Major Projects Authority Annual Report</w:t>
        </w:r>
        <w:proofErr w:type="gramStart"/>
        <w:r w:rsidRPr="00FE21E9">
          <w:rPr>
            <w:rStyle w:val="Hyperlink"/>
          </w:rPr>
          <w:t>:2014</w:t>
        </w:r>
        <w:proofErr w:type="gramEnd"/>
        <w:r w:rsidRPr="00FE21E9">
          <w:rPr>
            <w:rStyle w:val="Hyperlink"/>
          </w:rPr>
          <w:t>-15</w:t>
        </w:r>
      </w:hyperlink>
      <w:r w:rsidRPr="00FE21E9">
        <w:t xml:space="preserve"> (Cabinet Office, 2015) </w:t>
      </w:r>
    </w:p>
  </w:endnote>
  <w:endnote w:id="53">
    <w:p w14:paraId="7DD3CC85" w14:textId="77777777" w:rsidR="002B679D" w:rsidRDefault="002B679D" w:rsidP="004E0F75">
      <w:pPr>
        <w:pStyle w:val="EndnoteText"/>
      </w:pPr>
      <w:r>
        <w:rPr>
          <w:rStyle w:val="EndnoteReference"/>
        </w:rPr>
        <w:endnoteRef/>
      </w:r>
      <w:r>
        <w:t xml:space="preserve"> </w:t>
      </w:r>
      <w:hyperlink r:id="rId55" w:history="1">
        <w:r w:rsidRPr="00E30398">
          <w:rPr>
            <w:rStyle w:val="Hyperlink"/>
          </w:rPr>
          <w:t>Scotland Act 2016</w:t>
        </w:r>
      </w:hyperlink>
      <w:r>
        <w:t>, s29 and 30</w:t>
      </w:r>
    </w:p>
  </w:endnote>
  <w:endnote w:id="54">
    <w:p w14:paraId="415A0473" w14:textId="77777777" w:rsidR="002B679D" w:rsidRDefault="002B679D">
      <w:pPr>
        <w:pStyle w:val="EndnoteText"/>
      </w:pPr>
      <w:r>
        <w:rPr>
          <w:rStyle w:val="EndnoteReference"/>
        </w:rPr>
        <w:endnoteRef/>
      </w:r>
      <w:r>
        <w:t xml:space="preserve"> Office for Budgetary Responsibility, </w:t>
      </w:r>
      <w:hyperlink r:id="rId56" w:history="1">
        <w:r w:rsidRPr="00AE5D60">
          <w:rPr>
            <w:rStyle w:val="Hyperlink"/>
          </w:rPr>
          <w:t>A brief guide to the UK public finances</w:t>
        </w:r>
      </w:hyperlink>
      <w:r>
        <w:t xml:space="preserve"> (OBR, 2015)</w:t>
      </w:r>
    </w:p>
  </w:endnote>
  <w:endnote w:id="55">
    <w:p w14:paraId="35698C9D" w14:textId="77777777" w:rsidR="002B679D" w:rsidRDefault="002B679D">
      <w:pPr>
        <w:pStyle w:val="EndnoteText"/>
      </w:pPr>
      <w:r>
        <w:rPr>
          <w:rStyle w:val="EndnoteReference"/>
        </w:rPr>
        <w:endnoteRef/>
      </w:r>
      <w:r>
        <w:t xml:space="preserve"> National Audit Office, </w:t>
      </w:r>
      <w:hyperlink r:id="rId57" w:history="1">
        <w:r w:rsidRPr="007968C0">
          <w:rPr>
            <w:rStyle w:val="Hyperlink"/>
          </w:rPr>
          <w:t>Contracted out health and disability assessments</w:t>
        </w:r>
      </w:hyperlink>
      <w:r>
        <w:t xml:space="preserve"> (NAO, 2016) HC 609</w:t>
      </w:r>
    </w:p>
  </w:endnote>
  <w:endnote w:id="56">
    <w:p w14:paraId="2D443EE6" w14:textId="77777777" w:rsidR="002B679D" w:rsidRDefault="002B679D">
      <w:pPr>
        <w:pStyle w:val="EndnoteText"/>
      </w:pPr>
      <w:r>
        <w:rPr>
          <w:rStyle w:val="EndnoteReference"/>
        </w:rPr>
        <w:endnoteRef/>
      </w:r>
      <w:r>
        <w:t xml:space="preserve"> Based on estimates of social security fraud of 1.3bn and tax evasion and avoidance of £34bn, see respectively DWP, </w:t>
      </w:r>
      <w:hyperlink r:id="rId58" w:history="1">
        <w:r w:rsidRPr="00747FBF">
          <w:rPr>
            <w:rStyle w:val="Hyperlink"/>
          </w:rPr>
          <w:t>Fraud and error in the Benefit System: 2013/14</w:t>
        </w:r>
      </w:hyperlink>
      <w:r>
        <w:t xml:space="preserve"> (DWP, 2014) and HMRC, </w:t>
      </w:r>
      <w:hyperlink r:id="rId59" w:history="1">
        <w:r w:rsidRPr="00747FBF">
          <w:rPr>
            <w:rStyle w:val="Hyperlink"/>
          </w:rPr>
          <w:t>Tax gap estimates 2013-14</w:t>
        </w:r>
      </w:hyperlink>
      <w:r>
        <w:t xml:space="preserve"> (HMRC, 2015)</w:t>
      </w:r>
    </w:p>
  </w:endnote>
  <w:endnote w:id="57">
    <w:p w14:paraId="2E2DCB8E" w14:textId="77777777" w:rsidR="002B679D" w:rsidRDefault="002B679D" w:rsidP="00B963ED">
      <w:pPr>
        <w:pStyle w:val="EndnoteText"/>
      </w:pPr>
      <w:r>
        <w:rPr>
          <w:rStyle w:val="EndnoteReference"/>
        </w:rPr>
        <w:endnoteRef/>
      </w:r>
      <w:r>
        <w:t xml:space="preserve"> </w:t>
      </w:r>
      <w:proofErr w:type="gramStart"/>
      <w:r>
        <w:t xml:space="preserve">A </w:t>
      </w:r>
      <w:proofErr w:type="spellStart"/>
      <w:r>
        <w:t>Harrop</w:t>
      </w:r>
      <w:proofErr w:type="spellEnd"/>
      <w:r>
        <w:t xml:space="preserve">, </w:t>
      </w:r>
      <w:hyperlink r:id="rId60" w:history="1">
        <w:r w:rsidRPr="00997335">
          <w:rPr>
            <w:rStyle w:val="Hyperlink"/>
          </w:rPr>
          <w:t>All in this together</w:t>
        </w:r>
      </w:hyperlink>
      <w:r>
        <w:t xml:space="preserve"> (</w:t>
      </w:r>
      <w:proofErr w:type="spellStart"/>
      <w:r>
        <w:t>Fabian</w:t>
      </w:r>
      <w:proofErr w:type="spellEnd"/>
      <w:r>
        <w:t xml:space="preserve"> Society, 2016) - when the reforms have been fully implemented by 2020.</w:t>
      </w:r>
      <w:proofErr w:type="gramEnd"/>
    </w:p>
  </w:endnote>
  <w:endnote w:id="58">
    <w:p w14:paraId="2DE6E3CC" w14:textId="77777777" w:rsidR="002B679D" w:rsidRDefault="002B679D">
      <w:pPr>
        <w:pStyle w:val="EndnoteText"/>
      </w:pPr>
      <w:r>
        <w:rPr>
          <w:rStyle w:val="EndnoteReference"/>
        </w:rPr>
        <w:endnoteRef/>
      </w:r>
      <w:r>
        <w:t xml:space="preserve"> Malnutrition Task Force, </w:t>
      </w:r>
      <w:hyperlink r:id="rId61" w:history="1">
        <w:r w:rsidRPr="00933913">
          <w:rPr>
            <w:rStyle w:val="Hyperlink"/>
          </w:rPr>
          <w:t>More than 46,000 older people stripped of their Meals on Wheels service</w:t>
        </w:r>
      </w:hyperlink>
      <w:r>
        <w:t xml:space="preserve"> (MTF, 2015)</w:t>
      </w:r>
    </w:p>
  </w:endnote>
  <w:endnote w:id="59">
    <w:p w14:paraId="0DBDE174" w14:textId="77777777" w:rsidR="002B679D" w:rsidRDefault="002B679D">
      <w:pPr>
        <w:pStyle w:val="EndnoteText"/>
      </w:pPr>
      <w:r>
        <w:rPr>
          <w:rStyle w:val="EndnoteReference"/>
        </w:rPr>
        <w:endnoteRef/>
      </w:r>
      <w:r>
        <w:t xml:space="preserve"> Equality and Human Rights, </w:t>
      </w:r>
      <w:hyperlink r:id="rId62" w:history="1">
        <w:r w:rsidRPr="0009489A">
          <w:rPr>
            <w:rStyle w:val="Hyperlink"/>
          </w:rPr>
          <w:t>Close to home: An inquiry in to older people and human rights in home care</w:t>
        </w:r>
      </w:hyperlink>
      <w:r>
        <w:t xml:space="preserve"> (EHRC, 2011) Channel 4 Dispatches, </w:t>
      </w:r>
      <w:hyperlink r:id="rId63" w:history="1">
        <w:r w:rsidRPr="00B11999">
          <w:rPr>
            <w:rStyle w:val="Hyperlink"/>
          </w:rPr>
          <w:t>Britain’s pensioner care scandal</w:t>
        </w:r>
      </w:hyperlink>
      <w:r>
        <w:t xml:space="preserve"> (Channel 4, 04 April 2016)</w:t>
      </w:r>
    </w:p>
  </w:endnote>
  <w:endnote w:id="60">
    <w:p w14:paraId="487ED889" w14:textId="77777777" w:rsidR="002B679D" w:rsidRDefault="002B679D" w:rsidP="00A762BD">
      <w:pPr>
        <w:pStyle w:val="EndnoteText"/>
      </w:pPr>
      <w:r>
        <w:rPr>
          <w:rStyle w:val="EndnoteReference"/>
        </w:rPr>
        <w:endnoteRef/>
      </w:r>
      <w:r>
        <w:t xml:space="preserve"> Equality and Human Rights Commission, </w:t>
      </w:r>
      <w:hyperlink r:id="rId64" w:history="1">
        <w:r>
          <w:rPr>
            <w:rStyle w:val="Hyperlink"/>
          </w:rPr>
          <w:t>Commission intervenes in ILF case</w:t>
        </w:r>
      </w:hyperlink>
      <w:r>
        <w:t xml:space="preserve"> (EHRC, 22 October 2014)</w:t>
      </w:r>
    </w:p>
  </w:endnote>
  <w:endnote w:id="61">
    <w:p w14:paraId="4545DEDB" w14:textId="77777777" w:rsidR="002B679D" w:rsidRDefault="002B679D" w:rsidP="0009489A">
      <w:pPr>
        <w:pStyle w:val="EndnoteText"/>
      </w:pPr>
      <w:r>
        <w:rPr>
          <w:rStyle w:val="EndnoteReference"/>
        </w:rPr>
        <w:endnoteRef/>
      </w:r>
      <w:r>
        <w:t xml:space="preserve"> Care Quality Commission, </w:t>
      </w:r>
      <w:hyperlink r:id="rId65" w:history="1">
        <w:r w:rsidRPr="00F542AC">
          <w:rPr>
            <w:rStyle w:val="Hyperlink"/>
          </w:rPr>
          <w:t>Dignity and nutrition inspection programme 2012</w:t>
        </w:r>
      </w:hyperlink>
      <w:r>
        <w:t xml:space="preserve"> (CQC, 2013) </w:t>
      </w:r>
    </w:p>
  </w:endnote>
  <w:endnote w:id="62">
    <w:p w14:paraId="24833E4B" w14:textId="77777777" w:rsidR="002B679D" w:rsidRDefault="002B679D" w:rsidP="00124BA5">
      <w:pPr>
        <w:pStyle w:val="EndnoteText"/>
        <w:tabs>
          <w:tab w:val="right" w:pos="9638"/>
        </w:tabs>
      </w:pPr>
      <w:r>
        <w:rPr>
          <w:rStyle w:val="EndnoteReference"/>
        </w:rPr>
        <w:endnoteRef/>
      </w:r>
      <w:r>
        <w:t xml:space="preserve"> BAPEN, </w:t>
      </w:r>
      <w:hyperlink r:id="rId66" w:history="1">
        <w:r w:rsidRPr="00897151">
          <w:rPr>
            <w:rStyle w:val="Hyperlink"/>
          </w:rPr>
          <w:t>Report from the advisory group on malnutrition</w:t>
        </w:r>
      </w:hyperlink>
      <w:r>
        <w:t xml:space="preserve"> (BAPEN, 2008)</w:t>
      </w:r>
      <w:r>
        <w:tab/>
      </w:r>
    </w:p>
  </w:endnote>
  <w:endnote w:id="63">
    <w:p w14:paraId="59F988B4" w14:textId="77777777" w:rsidR="002B679D" w:rsidRDefault="002B679D" w:rsidP="002B5D21">
      <w:pPr>
        <w:pStyle w:val="EndnoteText"/>
      </w:pPr>
      <w:r>
        <w:rPr>
          <w:rStyle w:val="EndnoteReference"/>
        </w:rPr>
        <w:endnoteRef/>
      </w:r>
      <w:r>
        <w:t xml:space="preserve"> The Food Foundation, </w:t>
      </w:r>
      <w:hyperlink r:id="rId67" w:history="1">
        <w:r w:rsidRPr="00A30912">
          <w:rPr>
            <w:rStyle w:val="Hyperlink"/>
          </w:rPr>
          <w:t>Force-Fed: Does the food system constrict healthy choices for typical British families?</w:t>
        </w:r>
      </w:hyperlink>
      <w:r>
        <w:t xml:space="preserve"> (Food Foundation, 2015)</w:t>
      </w:r>
    </w:p>
  </w:endnote>
  <w:endnote w:id="64">
    <w:p w14:paraId="54FE49D7" w14:textId="77777777" w:rsidR="002B679D" w:rsidRDefault="002B679D" w:rsidP="002B5D21">
      <w:pPr>
        <w:pStyle w:val="EndnoteText"/>
      </w:pPr>
      <w:r>
        <w:rPr>
          <w:rStyle w:val="EndnoteReference"/>
        </w:rPr>
        <w:endnoteRef/>
      </w:r>
      <w:r>
        <w:t xml:space="preserve"> Department for Environment, Food and Rural Affairs, </w:t>
      </w:r>
      <w:hyperlink r:id="rId68" w:history="1">
        <w:r w:rsidRPr="00897151">
          <w:rPr>
            <w:rStyle w:val="Hyperlink"/>
          </w:rPr>
          <w:t>Food Statistics Pocketbook 2015</w:t>
        </w:r>
      </w:hyperlink>
      <w:r>
        <w:t xml:space="preserve"> (DEFRA, 2016); BAPEN, </w:t>
      </w:r>
      <w:hyperlink r:id="rId69" w:history="1">
        <w:r w:rsidRPr="00897151">
          <w:rPr>
            <w:rStyle w:val="Hyperlink"/>
          </w:rPr>
          <w:t>Report from the advisory group on malnutrition</w:t>
        </w:r>
      </w:hyperlink>
      <w:r>
        <w:t xml:space="preserve"> (BAPEN, 2008)</w:t>
      </w:r>
    </w:p>
  </w:endnote>
  <w:endnote w:id="65">
    <w:p w14:paraId="3A639EE3" w14:textId="60D4A06A" w:rsidR="002B679D" w:rsidRDefault="002B679D" w:rsidP="002B5D21">
      <w:pPr>
        <w:pStyle w:val="EndnoteText"/>
      </w:pPr>
      <w:r>
        <w:rPr>
          <w:rStyle w:val="EndnoteReference"/>
        </w:rPr>
        <w:endnoteRef/>
      </w:r>
      <w:r>
        <w:t xml:space="preserve"> See DEFRA, </w:t>
      </w:r>
      <w:hyperlink r:id="rId70" w:history="1">
        <w:r w:rsidRPr="00F2138C">
          <w:rPr>
            <w:rStyle w:val="Hyperlink"/>
          </w:rPr>
          <w:t>Family Food</w:t>
        </w:r>
      </w:hyperlink>
      <w:r>
        <w:t xml:space="preserve"> (DEFRA, 2013) analysis </w:t>
      </w:r>
      <w:r w:rsidRPr="00D4448A">
        <w:t>against the D</w:t>
      </w:r>
      <w:r>
        <w:t xml:space="preserve">ietary Reference Values and </w:t>
      </w:r>
      <w:proofErr w:type="spellStart"/>
      <w:r>
        <w:t>Eat</w:t>
      </w:r>
      <w:r w:rsidRPr="00D4448A">
        <w:t>Well</w:t>
      </w:r>
      <w:proofErr w:type="spellEnd"/>
      <w:r w:rsidRPr="00D4448A">
        <w:t xml:space="preserve"> Plate, and Food</w:t>
      </w:r>
      <w:r>
        <w:t xml:space="preserve"> Standards Scotland, </w:t>
      </w:r>
      <w:hyperlink r:id="rId71" w:history="1">
        <w:r w:rsidRPr="00EB7E5B">
          <w:rPr>
            <w:rStyle w:val="Hyperlink"/>
          </w:rPr>
          <w:t>Monitoring progress towards the Scottish Dietary Goals 2001-2012</w:t>
        </w:r>
      </w:hyperlink>
      <w:r>
        <w:t xml:space="preserve"> (FSS, 2015)</w:t>
      </w:r>
    </w:p>
  </w:endnote>
  <w:endnote w:id="66">
    <w:p w14:paraId="1AD345E1" w14:textId="77777777" w:rsidR="002B679D" w:rsidRDefault="002B679D" w:rsidP="002B5D21">
      <w:pPr>
        <w:pStyle w:val="EndnoteText"/>
      </w:pPr>
      <w:r>
        <w:rPr>
          <w:rStyle w:val="EndnoteReference"/>
        </w:rPr>
        <w:endnoteRef/>
      </w:r>
      <w:r>
        <w:t xml:space="preserve"> This is true both </w:t>
      </w:r>
      <w:r w:rsidRPr="00A30912">
        <w:t xml:space="preserve">on UK-wide equivalised income measures and using the </w:t>
      </w:r>
      <w:r>
        <w:t xml:space="preserve">Scottish Index of Multiple Deprivation, see respectively </w:t>
      </w:r>
      <w:r w:rsidRPr="00A30912">
        <w:rPr>
          <w:i/>
        </w:rPr>
        <w:t>ibid</w:t>
      </w:r>
      <w:r>
        <w:t xml:space="preserve"> DEFRA, 2013 and FSS, 2015 </w:t>
      </w:r>
    </w:p>
  </w:endnote>
  <w:endnote w:id="67">
    <w:p w14:paraId="362C934B" w14:textId="77777777" w:rsidR="002B679D" w:rsidRDefault="002B679D" w:rsidP="002B5D21">
      <w:pPr>
        <w:pStyle w:val="EndnoteText"/>
      </w:pPr>
      <w:r>
        <w:rPr>
          <w:rStyle w:val="EndnoteReference"/>
        </w:rPr>
        <w:endnoteRef/>
      </w:r>
      <w:r>
        <w:t xml:space="preserve"> FSS, </w:t>
      </w:r>
      <w:hyperlink r:id="rId72" w:history="1">
        <w:r w:rsidRPr="00BE3EDC">
          <w:rPr>
            <w:rStyle w:val="Hyperlink"/>
          </w:rPr>
          <w:t>Situation Report: The Scottish Diet: It needs to change</w:t>
        </w:r>
      </w:hyperlink>
      <w:r>
        <w:t xml:space="preserve"> (FSS, 2015), </w:t>
      </w:r>
    </w:p>
  </w:endnote>
  <w:endnote w:id="68">
    <w:p w14:paraId="671B73D1" w14:textId="77777777" w:rsidR="002B679D" w:rsidRDefault="002B679D" w:rsidP="002B5D21">
      <w:pPr>
        <w:pStyle w:val="EndnoteText"/>
      </w:pPr>
      <w:r>
        <w:rPr>
          <w:rStyle w:val="EndnoteReference"/>
        </w:rPr>
        <w:endnoteRef/>
      </w:r>
      <w:r>
        <w:t xml:space="preserve"> M </w:t>
      </w:r>
      <w:r w:rsidRPr="00573452">
        <w:t>Marmot et al, Fair Society, Healthy Lives: Strategic Review of Health Inequalities in England post-2010 (Department of Health, 2010)</w:t>
      </w:r>
    </w:p>
  </w:endnote>
  <w:endnote w:id="69">
    <w:p w14:paraId="23371562" w14:textId="77777777" w:rsidR="002B679D" w:rsidRDefault="002B679D" w:rsidP="002B5D21">
      <w:pPr>
        <w:pStyle w:val="EndnoteText"/>
      </w:pPr>
      <w:r>
        <w:rPr>
          <w:rStyle w:val="EndnoteReference"/>
        </w:rPr>
        <w:endnoteRef/>
      </w:r>
      <w:r>
        <w:t xml:space="preserve"> Faculty of Public Health, Royal College of Physicians, </w:t>
      </w:r>
      <w:hyperlink r:id="rId73" w:history="1">
        <w:r w:rsidRPr="00DB74C7">
          <w:rPr>
            <w:rStyle w:val="Hyperlink"/>
          </w:rPr>
          <w:t>Food Poverty and Health Briefing Statement</w:t>
        </w:r>
      </w:hyperlink>
      <w:r>
        <w:t xml:space="preserve"> (FPH, 2005)</w:t>
      </w:r>
    </w:p>
  </w:endnote>
  <w:endnote w:id="70">
    <w:p w14:paraId="133C1F21" w14:textId="77777777" w:rsidR="002B679D" w:rsidRDefault="002B679D" w:rsidP="002B5D21">
      <w:pPr>
        <w:pStyle w:val="EndnoteText"/>
      </w:pPr>
      <w:r>
        <w:rPr>
          <w:rStyle w:val="EndnoteReference"/>
        </w:rPr>
        <w:endnoteRef/>
      </w:r>
      <w:r>
        <w:t xml:space="preserve"> Jones et al, </w:t>
      </w:r>
      <w:hyperlink r:id="rId74" w:history="1">
        <w:r w:rsidRPr="00A247ED">
          <w:rPr>
            <w:rStyle w:val="Hyperlink"/>
          </w:rPr>
          <w:t>The growing price gap between more and less healthy foods: Analysis of a novel longitudinal UK dataset</w:t>
        </w:r>
      </w:hyperlink>
      <w:r>
        <w:t xml:space="preserve"> (2014) 9(10) </w:t>
      </w:r>
      <w:proofErr w:type="spellStart"/>
      <w:r>
        <w:t>PLoS</w:t>
      </w:r>
      <w:proofErr w:type="spellEnd"/>
      <w:r>
        <w:t xml:space="preserve"> ONE </w:t>
      </w:r>
    </w:p>
  </w:endnote>
  <w:endnote w:id="71">
    <w:p w14:paraId="0482F641" w14:textId="77777777" w:rsidR="002B679D" w:rsidRDefault="002B679D" w:rsidP="002B5D21">
      <w:pPr>
        <w:pStyle w:val="EndnoteText"/>
      </w:pPr>
      <w:r>
        <w:rPr>
          <w:rStyle w:val="EndnoteReference"/>
        </w:rPr>
        <w:endnoteRef/>
      </w:r>
      <w:r>
        <w:t xml:space="preserve"> DEFRA, </w:t>
      </w:r>
      <w:hyperlink r:id="rId75" w:history="1">
        <w:r w:rsidRPr="00897151">
          <w:rPr>
            <w:rStyle w:val="Hyperlink"/>
          </w:rPr>
          <w:t>Food Statistics Pocketbook 2015</w:t>
        </w:r>
      </w:hyperlink>
      <w:r>
        <w:t xml:space="preserve"> (DEFRA, 2016)</w:t>
      </w:r>
    </w:p>
  </w:endnote>
  <w:endnote w:id="72">
    <w:p w14:paraId="2F2DD71C" w14:textId="77777777" w:rsidR="002B679D" w:rsidRDefault="002B679D" w:rsidP="002B5D21">
      <w:pPr>
        <w:pStyle w:val="EndnoteText"/>
      </w:pPr>
      <w:r>
        <w:rPr>
          <w:rStyle w:val="EndnoteReference"/>
        </w:rPr>
        <w:endnoteRef/>
      </w:r>
      <w:r>
        <w:t xml:space="preserve"> Public Health England and Kantar World Panel UK, </w:t>
      </w:r>
      <w:hyperlink r:id="rId76" w:history="1">
        <w:r w:rsidRPr="008011A4">
          <w:rPr>
            <w:rStyle w:val="Hyperlink"/>
          </w:rPr>
          <w:t>Sugar Reduction: The evidence for action</w:t>
        </w:r>
      </w:hyperlink>
      <w:r>
        <w:t xml:space="preserve"> (PHE, 2015)</w:t>
      </w:r>
    </w:p>
  </w:endnote>
  <w:endnote w:id="73">
    <w:p w14:paraId="0CA20931" w14:textId="77777777" w:rsidR="002B679D" w:rsidRDefault="002B679D" w:rsidP="002B5D21">
      <w:pPr>
        <w:pStyle w:val="EndnoteText"/>
      </w:pPr>
      <w:r>
        <w:rPr>
          <w:rStyle w:val="EndnoteReference"/>
        </w:rPr>
        <w:endnoteRef/>
      </w:r>
      <w:r>
        <w:t xml:space="preserve"> Chief Medical Officer for Scotland, </w:t>
      </w:r>
      <w:hyperlink r:id="rId77" w:history="1">
        <w:r w:rsidRPr="00D02834">
          <w:rPr>
            <w:rStyle w:val="Hyperlink"/>
          </w:rPr>
          <w:t>CMO’s Annual Report 2014-15</w:t>
        </w:r>
      </w:hyperlink>
      <w:r>
        <w:t xml:space="preserve"> (NHS Scotland, 2016)</w:t>
      </w:r>
    </w:p>
  </w:endnote>
  <w:endnote w:id="74">
    <w:p w14:paraId="3F47633C" w14:textId="77777777" w:rsidR="002B679D" w:rsidRDefault="002B679D" w:rsidP="002B5D21">
      <w:pPr>
        <w:pStyle w:val="EndnoteText"/>
      </w:pPr>
      <w:r>
        <w:rPr>
          <w:rStyle w:val="EndnoteReference"/>
        </w:rPr>
        <w:endnoteRef/>
      </w:r>
      <w:r>
        <w:t xml:space="preserve"> F Douglas et al, </w:t>
      </w:r>
      <w:hyperlink r:id="rId78" w:history="1">
        <w:r w:rsidRPr="00437CB2">
          <w:rPr>
            <w:rStyle w:val="Hyperlink"/>
          </w:rPr>
          <w:t>The nature and extent of food poverty</w:t>
        </w:r>
      </w:hyperlink>
      <w:r>
        <w:t xml:space="preserve"> (NHS Health Scotland, 2015)</w:t>
      </w:r>
    </w:p>
  </w:endnote>
  <w:endnote w:id="75">
    <w:p w14:paraId="30B6C4BF" w14:textId="77777777" w:rsidR="002B679D" w:rsidRDefault="002B679D" w:rsidP="002B5D21">
      <w:pPr>
        <w:pStyle w:val="EndnoteText"/>
      </w:pPr>
      <w:r>
        <w:rPr>
          <w:rStyle w:val="EndnoteReference"/>
        </w:rPr>
        <w:endnoteRef/>
      </w:r>
      <w:r>
        <w:t xml:space="preserve"> </w:t>
      </w:r>
      <w:proofErr w:type="spellStart"/>
      <w:r>
        <w:t>Fabian</w:t>
      </w:r>
      <w:proofErr w:type="spellEnd"/>
      <w:r>
        <w:t xml:space="preserve"> Commission on Food and Poverty, </w:t>
      </w:r>
      <w:hyperlink r:id="rId79" w:history="1">
        <w:r w:rsidRPr="00EF39C2">
          <w:rPr>
            <w:rStyle w:val="Hyperlink"/>
          </w:rPr>
          <w:t>Hungry for Change</w:t>
        </w:r>
      </w:hyperlink>
      <w:r>
        <w:t xml:space="preserve"> (</w:t>
      </w:r>
      <w:proofErr w:type="spellStart"/>
      <w:r>
        <w:t>Fabian</w:t>
      </w:r>
      <w:proofErr w:type="spellEnd"/>
      <w:r>
        <w:t xml:space="preserve"> Society, 2015) </w:t>
      </w:r>
    </w:p>
  </w:endnote>
  <w:endnote w:id="76">
    <w:p w14:paraId="6EA6A5F5" w14:textId="77777777" w:rsidR="002B679D" w:rsidRDefault="002B679D" w:rsidP="002B5D21">
      <w:pPr>
        <w:pStyle w:val="EndnoteText"/>
      </w:pPr>
      <w:r>
        <w:rPr>
          <w:rStyle w:val="EndnoteReference"/>
        </w:rPr>
        <w:endnoteRef/>
      </w:r>
      <w:r>
        <w:t xml:space="preserve"> S Morris, </w:t>
      </w:r>
      <w:hyperlink r:id="rId80" w:history="1">
        <w:r w:rsidRPr="00EF39C2">
          <w:rPr>
            <w:rStyle w:val="Hyperlink"/>
          </w:rPr>
          <w:t>Long-term food bank users risk nutritional problems</w:t>
        </w:r>
      </w:hyperlink>
      <w:r>
        <w:t xml:space="preserve"> (18 March 2015, The Guardian)</w:t>
      </w:r>
    </w:p>
  </w:endnote>
  <w:endnote w:id="77">
    <w:p w14:paraId="0A39884A" w14:textId="77777777" w:rsidR="002B679D" w:rsidRDefault="002B679D" w:rsidP="002B5D21">
      <w:pPr>
        <w:pStyle w:val="EndnoteText"/>
      </w:pPr>
      <w:r>
        <w:rPr>
          <w:rStyle w:val="EndnoteReference"/>
        </w:rPr>
        <w:endnoteRef/>
      </w:r>
      <w:r>
        <w:t xml:space="preserve"> </w:t>
      </w:r>
      <w:r w:rsidRPr="00A247ED">
        <w:rPr>
          <w:rFonts w:ascii="Calibri Light" w:hAnsi="Calibri Light"/>
        </w:rPr>
        <w:t xml:space="preserve">DEFRA, </w:t>
      </w:r>
      <w:hyperlink r:id="rId81" w:history="1">
        <w:r w:rsidRPr="00A247ED">
          <w:rPr>
            <w:rStyle w:val="Hyperlink"/>
          </w:rPr>
          <w:t>Food Statistics Pocketbook 2015</w:t>
        </w:r>
      </w:hyperlink>
      <w:r w:rsidRPr="00A247ED">
        <w:t xml:space="preserve"> (DEFRA, 2016), before inflation food prices have</w:t>
      </w:r>
      <w:r>
        <w:t xml:space="preserve"> risen 22-42%</w:t>
      </w:r>
    </w:p>
  </w:endnote>
  <w:endnote w:id="78">
    <w:p w14:paraId="5C2E4218" w14:textId="77777777" w:rsidR="002B679D" w:rsidRDefault="002B679D" w:rsidP="002B5D21">
      <w:pPr>
        <w:pStyle w:val="EndnoteText"/>
      </w:pPr>
      <w:r>
        <w:rPr>
          <w:rStyle w:val="EndnoteReference"/>
        </w:rPr>
        <w:endnoteRef/>
      </w:r>
      <w:r>
        <w:t xml:space="preserve"> DEFRA, </w:t>
      </w:r>
      <w:hyperlink r:id="rId82" w:history="1">
        <w:r w:rsidRPr="00F2138C">
          <w:rPr>
            <w:rStyle w:val="Hyperlink"/>
          </w:rPr>
          <w:t>Family Food</w:t>
        </w:r>
      </w:hyperlink>
      <w:r>
        <w:t xml:space="preserve"> (DEFRA, 2013)</w:t>
      </w:r>
    </w:p>
  </w:endnote>
  <w:endnote w:id="79">
    <w:p w14:paraId="75AA69EF" w14:textId="77777777" w:rsidR="002B679D" w:rsidRDefault="002B679D" w:rsidP="002B5D21">
      <w:pPr>
        <w:pStyle w:val="EndnoteText"/>
      </w:pPr>
      <w:r>
        <w:rPr>
          <w:rStyle w:val="EndnoteReference"/>
        </w:rPr>
        <w:endnoteRef/>
      </w:r>
      <w:r>
        <w:t xml:space="preserve"> </w:t>
      </w:r>
      <w:r w:rsidRPr="00B6706C">
        <w:rPr>
          <w:i/>
        </w:rPr>
        <w:t>Ibid</w:t>
      </w:r>
    </w:p>
  </w:endnote>
  <w:endnote w:id="80">
    <w:p w14:paraId="25AEE026" w14:textId="77777777" w:rsidR="002B679D" w:rsidRDefault="002B679D" w:rsidP="002B5D21">
      <w:pPr>
        <w:pStyle w:val="EndnoteText"/>
      </w:pPr>
      <w:r>
        <w:rPr>
          <w:rStyle w:val="EndnoteReference"/>
        </w:rPr>
        <w:endnoteRef/>
      </w:r>
      <w:r>
        <w:t xml:space="preserve"> Public Health England and Kantar World Panel UK, </w:t>
      </w:r>
      <w:hyperlink r:id="rId83" w:history="1">
        <w:r w:rsidRPr="008011A4">
          <w:rPr>
            <w:rStyle w:val="Hyperlink"/>
          </w:rPr>
          <w:t>Sugar Reduction: The evidence for action</w:t>
        </w:r>
      </w:hyperlink>
      <w:r>
        <w:t xml:space="preserve"> (PHE, 2015); British Medical Association, </w:t>
      </w:r>
      <w:hyperlink r:id="rId84" w:history="1">
        <w:r w:rsidRPr="0055470D">
          <w:rPr>
            <w:rStyle w:val="Hyperlink"/>
          </w:rPr>
          <w:t>Food for Thought: Promoting healthy diets among children and young people</w:t>
        </w:r>
      </w:hyperlink>
      <w:r>
        <w:t xml:space="preserve"> (BMA, 2015) </w:t>
      </w:r>
    </w:p>
  </w:endnote>
  <w:endnote w:id="81">
    <w:p w14:paraId="40D9E20E" w14:textId="77777777" w:rsidR="002B679D" w:rsidRDefault="002B679D" w:rsidP="002B5D21">
      <w:pPr>
        <w:pStyle w:val="EndnoteText"/>
      </w:pPr>
      <w:r>
        <w:rPr>
          <w:rStyle w:val="EndnoteReference"/>
        </w:rPr>
        <w:endnoteRef/>
      </w:r>
      <w:r>
        <w:t xml:space="preserve"> Closer to 10% increase in price based on leading brands sale of 500ml for £1</w:t>
      </w:r>
    </w:p>
  </w:endnote>
  <w:endnote w:id="82">
    <w:p w14:paraId="01C1FB2C" w14:textId="77777777" w:rsidR="002B679D" w:rsidRDefault="002B679D" w:rsidP="002B5D21">
      <w:pPr>
        <w:pStyle w:val="EndnoteText"/>
      </w:pPr>
      <w:r>
        <w:rPr>
          <w:rStyle w:val="EndnoteReference"/>
        </w:rPr>
        <w:endnoteRef/>
      </w:r>
      <w:r>
        <w:t xml:space="preserve"> Office for Budget Responsibility, </w:t>
      </w:r>
      <w:hyperlink r:id="rId85" w:history="1">
        <w:r w:rsidRPr="00AE7A5C">
          <w:rPr>
            <w:rStyle w:val="Hyperlink"/>
          </w:rPr>
          <w:t>Economic and Fiscal Outlook: March 2016</w:t>
        </w:r>
      </w:hyperlink>
      <w:r>
        <w:t xml:space="preserve"> (OBR, 2016)</w:t>
      </w:r>
    </w:p>
  </w:endnote>
  <w:endnote w:id="83">
    <w:p w14:paraId="09CD706C" w14:textId="77777777" w:rsidR="002B679D" w:rsidRDefault="002B679D" w:rsidP="002B5D21">
      <w:pPr>
        <w:pStyle w:val="EndnoteText"/>
      </w:pPr>
      <w:r>
        <w:rPr>
          <w:rStyle w:val="EndnoteReference"/>
        </w:rPr>
        <w:endnoteRef/>
      </w:r>
      <w:r>
        <w:t xml:space="preserve"> Office of Communications, </w:t>
      </w:r>
      <w:hyperlink r:id="rId86" w:history="1">
        <w:r w:rsidRPr="00CD3190">
          <w:rPr>
            <w:rStyle w:val="Hyperlink"/>
          </w:rPr>
          <w:t>Nielsen Advertising Spend and Impact Data – Appendix 4</w:t>
        </w:r>
      </w:hyperlink>
      <w:r>
        <w:t xml:space="preserve"> (OFCOM, 2003)</w:t>
      </w:r>
    </w:p>
  </w:endnote>
  <w:endnote w:id="84">
    <w:p w14:paraId="295EA3DF" w14:textId="77777777" w:rsidR="002B679D" w:rsidRDefault="002B679D" w:rsidP="002B5D21">
      <w:pPr>
        <w:pStyle w:val="EndnoteText"/>
      </w:pPr>
      <w:r>
        <w:rPr>
          <w:rStyle w:val="EndnoteReference"/>
        </w:rPr>
        <w:endnoteRef/>
      </w:r>
      <w:r>
        <w:t xml:space="preserve"> Committee of Advertising Practice, </w:t>
      </w:r>
      <w:hyperlink r:id="rId87" w:history="1">
        <w:r w:rsidRPr="00CD3190">
          <w:rPr>
            <w:rStyle w:val="Hyperlink"/>
          </w:rPr>
          <w:t>UK Code of Broadcast Advertising</w:t>
        </w:r>
      </w:hyperlink>
      <w:r>
        <w:t xml:space="preserve"> (CAP, 2014) </w:t>
      </w:r>
    </w:p>
  </w:endnote>
  <w:endnote w:id="85">
    <w:p w14:paraId="2EC17B2B" w14:textId="77777777" w:rsidR="002B679D" w:rsidRDefault="002B679D" w:rsidP="002B5D21">
      <w:pPr>
        <w:pStyle w:val="EndnoteText"/>
      </w:pPr>
      <w:r>
        <w:rPr>
          <w:rStyle w:val="EndnoteReference"/>
        </w:rPr>
        <w:endnoteRef/>
      </w:r>
      <w:r>
        <w:t xml:space="preserve"> OFCOM, </w:t>
      </w:r>
      <w:hyperlink r:id="rId88" w:history="1">
        <w:r w:rsidRPr="00CD3190">
          <w:rPr>
            <w:rStyle w:val="Hyperlink"/>
          </w:rPr>
          <w:t>HFSS advertising restrictions final review</w:t>
        </w:r>
      </w:hyperlink>
      <w:r>
        <w:t xml:space="preserve"> (OFCOM, 2010)</w:t>
      </w:r>
    </w:p>
  </w:endnote>
  <w:endnote w:id="86">
    <w:p w14:paraId="4F9EF10E" w14:textId="77777777" w:rsidR="002B679D" w:rsidRDefault="002B679D" w:rsidP="002B5D21">
      <w:pPr>
        <w:pStyle w:val="EndnoteText"/>
      </w:pPr>
      <w:r>
        <w:rPr>
          <w:rStyle w:val="EndnoteReference"/>
        </w:rPr>
        <w:endnoteRef/>
      </w:r>
      <w:r>
        <w:t xml:space="preserve"> Committee of Advertising Practice, </w:t>
      </w:r>
      <w:hyperlink r:id="rId89" w:history="1">
        <w:r w:rsidRPr="00CD3190">
          <w:rPr>
            <w:rStyle w:val="Hyperlink"/>
          </w:rPr>
          <w:t>UK Code of Non-broadcast Advertising, Sales Promotion and Direct Marketing</w:t>
        </w:r>
      </w:hyperlink>
      <w:r>
        <w:t xml:space="preserve"> (CAP, 2010)</w:t>
      </w:r>
    </w:p>
  </w:endnote>
  <w:endnote w:id="87">
    <w:p w14:paraId="1F9292C6" w14:textId="77777777" w:rsidR="002B679D" w:rsidRDefault="002B679D" w:rsidP="002B5D21">
      <w:pPr>
        <w:pStyle w:val="EndnoteText"/>
      </w:pPr>
      <w:r>
        <w:rPr>
          <w:rStyle w:val="EndnoteReference"/>
        </w:rPr>
        <w:endnoteRef/>
      </w:r>
      <w:r>
        <w:t xml:space="preserve"> The Food Foundation, </w:t>
      </w:r>
      <w:hyperlink r:id="rId90" w:history="1">
        <w:r w:rsidRPr="00A30912">
          <w:rPr>
            <w:rStyle w:val="Hyperlink"/>
          </w:rPr>
          <w:t>Force-Fed: Does the food system constrict healthy choices for typical British families?</w:t>
        </w:r>
      </w:hyperlink>
      <w:r>
        <w:t xml:space="preserve"> (Food Foundation, 2015)</w:t>
      </w:r>
    </w:p>
  </w:endnote>
  <w:endnote w:id="88">
    <w:p w14:paraId="55156848" w14:textId="77777777" w:rsidR="002B679D" w:rsidRDefault="002B679D" w:rsidP="002B5D21">
      <w:pPr>
        <w:pStyle w:val="EndnoteText"/>
      </w:pPr>
      <w:r>
        <w:rPr>
          <w:rStyle w:val="EndnoteReference"/>
        </w:rPr>
        <w:endnoteRef/>
      </w:r>
      <w:r>
        <w:t xml:space="preserve"> Public Health England and Kantar World Panel UK, </w:t>
      </w:r>
      <w:hyperlink r:id="rId91" w:history="1">
        <w:r w:rsidRPr="008011A4">
          <w:rPr>
            <w:rStyle w:val="Hyperlink"/>
          </w:rPr>
          <w:t>Sugar Reduction: The evidence for action</w:t>
        </w:r>
      </w:hyperlink>
      <w:r>
        <w:t xml:space="preserve"> (PHE, 2015)</w:t>
      </w:r>
    </w:p>
  </w:endnote>
  <w:endnote w:id="89">
    <w:p w14:paraId="314E6E65" w14:textId="77777777" w:rsidR="002B679D" w:rsidRDefault="002B679D" w:rsidP="002B5D21">
      <w:pPr>
        <w:pStyle w:val="EndnoteText"/>
      </w:pPr>
      <w:r>
        <w:rPr>
          <w:rStyle w:val="EndnoteReference"/>
        </w:rPr>
        <w:endnoteRef/>
      </w:r>
      <w:r>
        <w:t xml:space="preserve"> </w:t>
      </w:r>
      <w:r w:rsidRPr="00574451">
        <w:rPr>
          <w:i/>
        </w:rPr>
        <w:t>Ibid</w:t>
      </w:r>
    </w:p>
  </w:endnote>
  <w:endnote w:id="90">
    <w:p w14:paraId="28EDE32C" w14:textId="77777777" w:rsidR="002B679D" w:rsidRDefault="002B679D" w:rsidP="002B5D21">
      <w:pPr>
        <w:pStyle w:val="EndnoteText"/>
      </w:pPr>
      <w:r>
        <w:rPr>
          <w:rStyle w:val="EndnoteReference"/>
        </w:rPr>
        <w:endnoteRef/>
      </w:r>
      <w:r>
        <w:t xml:space="preserve"> R Nakamura, et al., </w:t>
      </w:r>
      <w:hyperlink r:id="rId92" w:history="1">
        <w:r w:rsidRPr="00574451">
          <w:rPr>
            <w:rStyle w:val="Hyperlink"/>
          </w:rPr>
          <w:t>Price promotions on healthier vs. less healthy foods: a hierarchical regression analysis of the impact on sales and social patterning of responses to promotions in Great Britain</w:t>
        </w:r>
      </w:hyperlink>
      <w:r>
        <w:t xml:space="preserve">, (2015) 4(101) The American Journal of Clinical Nutrition 808 </w:t>
      </w:r>
    </w:p>
  </w:endnote>
  <w:endnote w:id="91">
    <w:p w14:paraId="4930D797" w14:textId="77777777" w:rsidR="002B679D" w:rsidRDefault="002B679D" w:rsidP="002B5D21">
      <w:pPr>
        <w:pStyle w:val="EndnoteText"/>
      </w:pPr>
      <w:r>
        <w:rPr>
          <w:rStyle w:val="EndnoteReference"/>
        </w:rPr>
        <w:endnoteRef/>
      </w:r>
      <w:r>
        <w:t xml:space="preserve"> </w:t>
      </w:r>
      <w:r w:rsidRPr="007966C6">
        <w:rPr>
          <w:i/>
        </w:rPr>
        <w:t>Ibid</w:t>
      </w:r>
    </w:p>
  </w:endnote>
  <w:endnote w:id="92">
    <w:p w14:paraId="71CB9611" w14:textId="77777777" w:rsidR="002B679D" w:rsidRDefault="002B679D" w:rsidP="002B5D21">
      <w:pPr>
        <w:pStyle w:val="EndnoteText"/>
      </w:pPr>
      <w:r>
        <w:rPr>
          <w:rStyle w:val="EndnoteReference"/>
        </w:rPr>
        <w:endnoteRef/>
      </w:r>
      <w:r>
        <w:t xml:space="preserve"> </w:t>
      </w:r>
      <w:hyperlink r:id="rId93" w:history="1">
        <w:r w:rsidRPr="00B9304D">
          <w:rPr>
            <w:rStyle w:val="Hyperlink"/>
          </w:rPr>
          <w:t>Alcohol etc. (Scotland) Act</w:t>
        </w:r>
      </w:hyperlink>
      <w:r>
        <w:t xml:space="preserve"> 2010 prohibits off-trade quantity promotions (in establishments selling alcohol for consumption off of the premises) adding to existing measures in place since 2009 on on-trade irresponsible promotions; M Robinson et al, </w:t>
      </w:r>
      <w:hyperlink r:id="rId94" w:history="1">
        <w:r w:rsidRPr="009C0DD3">
          <w:rPr>
            <w:rStyle w:val="Hyperlink"/>
          </w:rPr>
          <w:t>Monitoring and Evaluating Scotland’s Alcohol Strategy: The impact of the Alcohol Act on off-trade alcohol sales in Scotland</w:t>
        </w:r>
      </w:hyperlink>
      <w:r>
        <w:t xml:space="preserve"> (NHS Health Scotland, 2013) </w:t>
      </w:r>
    </w:p>
  </w:endnote>
  <w:endnote w:id="93">
    <w:p w14:paraId="2A48FEB1" w14:textId="77777777" w:rsidR="002B679D" w:rsidRDefault="002B679D" w:rsidP="002B5D21">
      <w:pPr>
        <w:pStyle w:val="EndnoteText"/>
      </w:pPr>
      <w:r>
        <w:rPr>
          <w:rStyle w:val="EndnoteReference"/>
        </w:rPr>
        <w:endnoteRef/>
      </w:r>
      <w:r>
        <w:t xml:space="preserve"> House of Commons Health Committee, </w:t>
      </w:r>
      <w:hyperlink r:id="rId95" w:history="1">
        <w:r w:rsidRPr="002D0B0F">
          <w:rPr>
            <w:rStyle w:val="Hyperlink"/>
          </w:rPr>
          <w:t>Childhood obesity – brave and bold action</w:t>
        </w:r>
      </w:hyperlink>
      <w:r>
        <w:t xml:space="preserve"> (HC 465, 2015)</w:t>
      </w:r>
    </w:p>
  </w:endnote>
  <w:endnote w:id="94">
    <w:p w14:paraId="4D5F9129" w14:textId="77777777" w:rsidR="002B679D" w:rsidRDefault="002B679D" w:rsidP="002B5D21">
      <w:pPr>
        <w:pStyle w:val="EndnoteText"/>
      </w:pPr>
      <w:r>
        <w:rPr>
          <w:rStyle w:val="EndnoteReference"/>
        </w:rPr>
        <w:endnoteRef/>
      </w:r>
      <w:r>
        <w:t xml:space="preserve"> British Heart Foundation, </w:t>
      </w:r>
      <w:hyperlink r:id="rId96" w:history="1">
        <w:r w:rsidRPr="002D0B0F">
          <w:rPr>
            <w:rStyle w:val="Hyperlink"/>
          </w:rPr>
          <w:t>Portion Distortion: How much are we really eating</w:t>
        </w:r>
      </w:hyperlink>
      <w:r>
        <w:t xml:space="preserve"> (BHF, 2013)</w:t>
      </w:r>
    </w:p>
  </w:endnote>
  <w:endnote w:id="95">
    <w:p w14:paraId="6650A8F6" w14:textId="77777777" w:rsidR="002B679D" w:rsidRDefault="002B679D" w:rsidP="002B5D21">
      <w:pPr>
        <w:pStyle w:val="EndnoteText"/>
      </w:pPr>
      <w:r>
        <w:rPr>
          <w:rStyle w:val="EndnoteReference"/>
        </w:rPr>
        <w:endnoteRef/>
      </w:r>
      <w:r>
        <w:t xml:space="preserve"> Fraser et al, </w:t>
      </w:r>
      <w:hyperlink r:id="rId97" w:history="1">
        <w:r w:rsidRPr="001C2994">
          <w:rPr>
            <w:rStyle w:val="Hyperlink"/>
          </w:rPr>
          <w:t>The geography of fast food outlets: A review</w:t>
        </w:r>
      </w:hyperlink>
      <w:r>
        <w:t xml:space="preserve"> (2010) 7(5) International Journal of Environmental Research and Public Health 2290 </w:t>
      </w:r>
    </w:p>
  </w:endnote>
  <w:endnote w:id="96">
    <w:p w14:paraId="3F6EC1C1" w14:textId="77777777" w:rsidR="002B679D" w:rsidRDefault="002B679D" w:rsidP="002B5D21">
      <w:pPr>
        <w:pStyle w:val="EndnoteText"/>
      </w:pPr>
      <w:r>
        <w:rPr>
          <w:rStyle w:val="EndnoteReference"/>
        </w:rPr>
        <w:endnoteRef/>
      </w:r>
      <w:r>
        <w:t xml:space="preserve"> Scottish Government, </w:t>
      </w:r>
      <w:hyperlink r:id="rId98" w:history="1">
        <w:r w:rsidRPr="00950D43">
          <w:rPr>
            <w:rStyle w:val="Hyperlink"/>
          </w:rPr>
          <w:t>Land Use Strategy 2016-2021</w:t>
        </w:r>
      </w:hyperlink>
      <w:r>
        <w:t xml:space="preserve"> (SG, 2016)</w:t>
      </w:r>
    </w:p>
  </w:endnote>
  <w:endnote w:id="97">
    <w:p w14:paraId="170BE188" w14:textId="77777777" w:rsidR="002B679D" w:rsidRDefault="002B679D" w:rsidP="002B5D21">
      <w:pPr>
        <w:pStyle w:val="EndnoteText"/>
      </w:pPr>
      <w:r>
        <w:rPr>
          <w:rStyle w:val="EndnoteReference"/>
        </w:rPr>
        <w:endnoteRef/>
      </w:r>
      <w:r>
        <w:t xml:space="preserve"> Town and Country Planning </w:t>
      </w:r>
      <w:r w:rsidRPr="00032887">
        <w:t xml:space="preserve">Association, </w:t>
      </w:r>
      <w:hyperlink r:id="rId99" w:history="1">
        <w:r w:rsidRPr="00032887">
          <w:rPr>
            <w:rStyle w:val="Hyperlink"/>
          </w:rPr>
          <w:t>Planning out Poverty</w:t>
        </w:r>
      </w:hyperlink>
      <w:r w:rsidRPr="00032887">
        <w:t xml:space="preserve"> (TCPA, 2013);</w:t>
      </w:r>
      <w:r>
        <w:t xml:space="preserve"> both the NPF and the LUS sit alongside </w:t>
      </w:r>
      <w:hyperlink r:id="rId100" w:history="1">
        <w:r w:rsidRPr="00AE6159">
          <w:rPr>
            <w:rStyle w:val="Hyperlink"/>
          </w:rPr>
          <w:t>Scotland’s Economic Strategy</w:t>
        </w:r>
      </w:hyperlink>
      <w:r>
        <w:t xml:space="preserve">, which acknowledges the challenges presented by poverty, inequality and health, as do </w:t>
      </w:r>
      <w:hyperlink r:id="rId101" w:history="1">
        <w:r w:rsidRPr="00AE6159">
          <w:rPr>
            <w:rStyle w:val="Hyperlink"/>
          </w:rPr>
          <w:t>Scotland’s National Outcomes</w:t>
        </w:r>
      </w:hyperlink>
      <w:r>
        <w:t xml:space="preserve">, the </w:t>
      </w:r>
      <w:hyperlink r:id="rId102" w:history="1">
        <w:r w:rsidRPr="00AE6159">
          <w:rPr>
            <w:rStyle w:val="Hyperlink"/>
          </w:rPr>
          <w:t>National Food and Drink Policy</w:t>
        </w:r>
      </w:hyperlink>
      <w:r>
        <w:t>, and emerging policies specifically on a Fairer Scotland, and a Healthier Scotland due to be published in May 2016.</w:t>
      </w:r>
    </w:p>
  </w:endnote>
  <w:endnote w:id="98">
    <w:p w14:paraId="3DD7DEC5" w14:textId="77777777" w:rsidR="002B679D" w:rsidRDefault="002B679D" w:rsidP="002B5D21">
      <w:pPr>
        <w:pStyle w:val="EndnoteText"/>
      </w:pPr>
      <w:r>
        <w:rPr>
          <w:rStyle w:val="EndnoteReference"/>
        </w:rPr>
        <w:endnoteRef/>
      </w:r>
      <w:r>
        <w:t xml:space="preserve"> Kevin Murray Associates, </w:t>
      </w:r>
      <w:hyperlink r:id="rId103" w:history="1">
        <w:r w:rsidRPr="00C27B39">
          <w:rPr>
            <w:rStyle w:val="Hyperlink"/>
          </w:rPr>
          <w:t>Review of the Strategic Development Plans in Scotland</w:t>
        </w:r>
      </w:hyperlink>
      <w:r>
        <w:t xml:space="preserve"> (SG, 2014)</w:t>
      </w:r>
    </w:p>
  </w:endnote>
  <w:endnote w:id="99">
    <w:p w14:paraId="1D8A0688" w14:textId="13D7D146" w:rsidR="002B679D" w:rsidRDefault="002B679D" w:rsidP="002B5D21">
      <w:pPr>
        <w:pStyle w:val="EndnoteText"/>
      </w:pPr>
      <w:r>
        <w:rPr>
          <w:rStyle w:val="EndnoteReference"/>
        </w:rPr>
        <w:endnoteRef/>
      </w:r>
      <w:r>
        <w:t xml:space="preserve"> North Lanarkshire Council, Tackling Food Poverty and Insecurity North Lanarkshire Strategic Framework 2014</w:t>
      </w:r>
    </w:p>
  </w:endnote>
  <w:endnote w:id="100">
    <w:p w14:paraId="53295683" w14:textId="77777777" w:rsidR="002B679D" w:rsidRDefault="002B679D" w:rsidP="002B5D21">
      <w:pPr>
        <w:pStyle w:val="EndnoteText"/>
      </w:pPr>
      <w:r>
        <w:rPr>
          <w:rStyle w:val="EndnoteReference"/>
        </w:rPr>
        <w:endnoteRef/>
      </w:r>
      <w:r>
        <w:t xml:space="preserve"> </w:t>
      </w:r>
      <w:hyperlink r:id="rId104" w:history="1">
        <w:r w:rsidRPr="00B9304D">
          <w:rPr>
            <w:rStyle w:val="Hyperlink"/>
          </w:rPr>
          <w:t>Community Empowerment (Scotland) Act</w:t>
        </w:r>
      </w:hyperlink>
      <w:r>
        <w:t xml:space="preserve"> 2015</w:t>
      </w:r>
    </w:p>
  </w:endnote>
  <w:endnote w:id="101">
    <w:p w14:paraId="73E8C7E3" w14:textId="77777777" w:rsidR="002B679D" w:rsidRDefault="002B679D" w:rsidP="002B5D21">
      <w:pPr>
        <w:pStyle w:val="EndnoteText"/>
      </w:pPr>
      <w:r>
        <w:rPr>
          <w:rStyle w:val="EndnoteReference"/>
        </w:rPr>
        <w:endnoteRef/>
      </w:r>
      <w:r>
        <w:t xml:space="preserve"> R (on the application of Copeland) v Tower Hamlets LBC [2010] EWHC 1845 (</w:t>
      </w:r>
      <w:r w:rsidRPr="00374B47">
        <w:rPr>
          <w:i/>
        </w:rPr>
        <w:t>proximity to a school with a healthy eating programme should have been considered</w:t>
      </w:r>
      <w:r>
        <w:t>)</w:t>
      </w:r>
    </w:p>
  </w:endnote>
  <w:endnote w:id="102">
    <w:p w14:paraId="444949AC" w14:textId="77777777" w:rsidR="002B679D" w:rsidRDefault="002B679D" w:rsidP="002B5D21">
      <w:pPr>
        <w:pStyle w:val="EndnoteText"/>
      </w:pPr>
      <w:r>
        <w:rPr>
          <w:rStyle w:val="EndnoteReference"/>
        </w:rPr>
        <w:endnoteRef/>
      </w:r>
      <w:r>
        <w:t xml:space="preserve"> </w:t>
      </w:r>
      <w:hyperlink r:id="rId105" w:history="1">
        <w:r w:rsidRPr="00496A96">
          <w:rPr>
            <w:rStyle w:val="Hyperlink"/>
          </w:rPr>
          <w:t xml:space="preserve">K </w:t>
        </w:r>
        <w:proofErr w:type="spellStart"/>
        <w:r w:rsidRPr="00496A96">
          <w:rPr>
            <w:rStyle w:val="Hyperlink"/>
          </w:rPr>
          <w:t>McCluskey</w:t>
        </w:r>
        <w:proofErr w:type="spellEnd"/>
        <w:r w:rsidRPr="00496A96">
          <w:rPr>
            <w:rStyle w:val="Hyperlink"/>
          </w:rPr>
          <w:t xml:space="preserve"> and others v North Lanarkshire Council</w:t>
        </w:r>
      </w:hyperlink>
      <w:r>
        <w:t xml:space="preserve"> [2016] SC HAM 3</w:t>
      </w:r>
    </w:p>
  </w:endnote>
  <w:endnote w:id="103">
    <w:p w14:paraId="4A9C2F37" w14:textId="77777777" w:rsidR="002B679D" w:rsidRDefault="002B679D" w:rsidP="002B5D21">
      <w:pPr>
        <w:pStyle w:val="EndnoteText"/>
      </w:pPr>
      <w:r>
        <w:rPr>
          <w:rStyle w:val="EndnoteReference"/>
        </w:rPr>
        <w:endnoteRef/>
      </w:r>
      <w:r>
        <w:t xml:space="preserve"> See in particular </w:t>
      </w:r>
      <w:hyperlink r:id="rId106" w:history="1">
        <w:r w:rsidRPr="003D0559">
          <w:rPr>
            <w:rStyle w:val="Hyperlink"/>
          </w:rPr>
          <w:t>Hungry for Success</w:t>
        </w:r>
      </w:hyperlink>
      <w:r>
        <w:t xml:space="preserve"> policy published in 2003 which established the whole school approach to food in Scotland, the </w:t>
      </w:r>
      <w:hyperlink r:id="rId107" w:history="1">
        <w:r w:rsidRPr="003D0559">
          <w:rPr>
            <w:rStyle w:val="Hyperlink"/>
          </w:rPr>
          <w:t>Schools (Health Promotion and Nutrition) (Scotland) Act</w:t>
        </w:r>
      </w:hyperlink>
      <w:r>
        <w:t xml:space="preserve"> 2007 which placed a number of duties on local authorities in relation to health promotion and free school lunches, the </w:t>
      </w:r>
      <w:hyperlink r:id="rId108" w:history="1">
        <w:r w:rsidRPr="003D0559">
          <w:rPr>
            <w:rStyle w:val="Hyperlink"/>
          </w:rPr>
          <w:t>Nutritional Requirements for Food and Drink in Schools (Scotland) Regulations</w:t>
        </w:r>
      </w:hyperlink>
      <w:r>
        <w:t xml:space="preserve"> 2008 which aligned school nutritional standards with the Scottish Dietary Goals, and </w:t>
      </w:r>
      <w:hyperlink r:id="rId109" w:history="1">
        <w:r w:rsidRPr="00516FE4">
          <w:rPr>
            <w:rStyle w:val="Hyperlink"/>
          </w:rPr>
          <w:t>Better Eating, Better Learning</w:t>
        </w:r>
      </w:hyperlink>
      <w:r w:rsidRPr="00516FE4">
        <w:t xml:space="preserve"> po</w:t>
      </w:r>
      <w:r w:rsidRPr="003D0559">
        <w:t>licy published in 2014 which established cross-curriculum inclusion of food</w:t>
      </w:r>
    </w:p>
  </w:endnote>
  <w:endnote w:id="104">
    <w:p w14:paraId="64CC21C0" w14:textId="77777777" w:rsidR="002B679D" w:rsidRDefault="002B679D" w:rsidP="002B5D21">
      <w:pPr>
        <w:pStyle w:val="EndnoteText"/>
      </w:pPr>
      <w:r>
        <w:rPr>
          <w:rStyle w:val="EndnoteReference"/>
        </w:rPr>
        <w:endnoteRef/>
      </w:r>
      <w:r>
        <w:t xml:space="preserve"> Child Poverty Action Group in Scotland, </w:t>
      </w:r>
      <w:hyperlink r:id="rId110" w:history="1">
        <w:r w:rsidRPr="0080209D">
          <w:rPr>
            <w:rStyle w:val="Hyperlink"/>
          </w:rPr>
          <w:t>Free School Meals Campaign</w:t>
        </w:r>
      </w:hyperlink>
      <w:r>
        <w:t xml:space="preserve"> (CPAG, 2008)</w:t>
      </w:r>
    </w:p>
  </w:endnote>
  <w:endnote w:id="105">
    <w:p w14:paraId="0637BB9D" w14:textId="77777777" w:rsidR="002B679D" w:rsidRDefault="002B679D" w:rsidP="002B5D21">
      <w:pPr>
        <w:pStyle w:val="EndnoteText"/>
      </w:pPr>
      <w:r>
        <w:rPr>
          <w:rStyle w:val="EndnoteReference"/>
        </w:rPr>
        <w:endnoteRef/>
      </w:r>
      <w:r>
        <w:t xml:space="preserve"> Evans et al, </w:t>
      </w:r>
      <w:hyperlink r:id="rId111" w:history="1">
        <w:r w:rsidRPr="00516FE4">
          <w:rPr>
            <w:rStyle w:val="Hyperlink"/>
          </w:rPr>
          <w:t>A cross-sectional study of children’s packed lunches in the UK</w:t>
        </w:r>
      </w:hyperlink>
      <w:r>
        <w:t xml:space="preserve"> (2010) 64(12) J </w:t>
      </w:r>
      <w:proofErr w:type="spellStart"/>
      <w:r>
        <w:t>Epidemiol</w:t>
      </w:r>
      <w:proofErr w:type="spellEnd"/>
      <w:r>
        <w:t xml:space="preserve"> Community Health 1105</w:t>
      </w:r>
    </w:p>
  </w:endnote>
  <w:endnote w:id="106">
    <w:p w14:paraId="28F30FAA" w14:textId="3D7C2236" w:rsidR="002B679D" w:rsidRPr="00033747" w:rsidRDefault="002B679D">
      <w:pPr>
        <w:pStyle w:val="EndnoteText"/>
        <w:rPr>
          <w:lang w:val="en-US"/>
        </w:rPr>
      </w:pPr>
      <w:r>
        <w:rPr>
          <w:rStyle w:val="EndnoteReference"/>
        </w:rPr>
        <w:endnoteRef/>
      </w:r>
      <w:r>
        <w:t xml:space="preserve"> </w:t>
      </w:r>
      <w:r>
        <w:rPr>
          <w:lang w:val="en-US"/>
        </w:rPr>
        <w:t>Scotland Act 2016, s27</w:t>
      </w:r>
    </w:p>
  </w:endnote>
  <w:endnote w:id="107">
    <w:p w14:paraId="232528FD" w14:textId="77777777" w:rsidR="002B679D" w:rsidRDefault="002B679D">
      <w:pPr>
        <w:pStyle w:val="EndnoteText"/>
      </w:pPr>
      <w:r>
        <w:rPr>
          <w:rStyle w:val="EndnoteReference"/>
        </w:rPr>
        <w:endnoteRef/>
      </w:r>
      <w:r>
        <w:t xml:space="preserve"> M </w:t>
      </w:r>
      <w:proofErr w:type="spellStart"/>
      <w:r>
        <w:t>Elia</w:t>
      </w:r>
      <w:proofErr w:type="spellEnd"/>
      <w:r>
        <w:t xml:space="preserve"> et al, </w:t>
      </w:r>
      <w:hyperlink r:id="rId112" w:history="1">
        <w:r w:rsidRPr="005D219B">
          <w:rPr>
            <w:rStyle w:val="Hyperlink"/>
          </w:rPr>
          <w:t>Malnutrition in the UK: policies to address the problem</w:t>
        </w:r>
      </w:hyperlink>
      <w:r>
        <w:t xml:space="preserve"> (2010) 69 Proceedings of Nutrition Society 470</w:t>
      </w:r>
    </w:p>
  </w:endnote>
  <w:endnote w:id="108">
    <w:p w14:paraId="63A2392A" w14:textId="77777777" w:rsidR="002B679D" w:rsidRDefault="002B679D" w:rsidP="002B5D21">
      <w:pPr>
        <w:pStyle w:val="EndnoteText"/>
      </w:pPr>
      <w:r>
        <w:rPr>
          <w:rStyle w:val="EndnoteReference"/>
        </w:rPr>
        <w:endnoteRef/>
      </w:r>
      <w:r>
        <w:t xml:space="preserve"> BAPEN, </w:t>
      </w:r>
      <w:hyperlink r:id="rId113" w:history="1">
        <w:r w:rsidRPr="00A963E0">
          <w:rPr>
            <w:rStyle w:val="Hyperlink"/>
          </w:rPr>
          <w:t>Nutritional screening s</w:t>
        </w:r>
        <w:r>
          <w:rPr>
            <w:rStyle w:val="Hyperlink"/>
          </w:rPr>
          <w:t>urveys in hospitals in Scotland</w:t>
        </w:r>
        <w:r w:rsidRPr="00A963E0">
          <w:rPr>
            <w:rStyle w:val="Hyperlink"/>
          </w:rPr>
          <w:t xml:space="preserve"> 2007-2011</w:t>
        </w:r>
      </w:hyperlink>
      <w:r>
        <w:t xml:space="preserve"> (BAPEN, 2014)</w:t>
      </w:r>
    </w:p>
  </w:endnote>
  <w:endnote w:id="109">
    <w:p w14:paraId="6177F67E" w14:textId="77777777" w:rsidR="002B679D" w:rsidRDefault="002B679D" w:rsidP="002B5D21">
      <w:pPr>
        <w:pStyle w:val="EndnoteText"/>
      </w:pPr>
      <w:r>
        <w:rPr>
          <w:rStyle w:val="EndnoteReference"/>
        </w:rPr>
        <w:endnoteRef/>
      </w:r>
      <w:r>
        <w:t xml:space="preserve"> Sustain, </w:t>
      </w:r>
      <w:hyperlink r:id="rId114" w:history="1">
        <w:r w:rsidRPr="00444921">
          <w:rPr>
            <w:rStyle w:val="Hyperlink"/>
          </w:rPr>
          <w:t>Ditch the junk from hospital canteens and vending machines</w:t>
        </w:r>
      </w:hyperlink>
      <w:r>
        <w:t xml:space="preserve"> (Sustain, 2015)</w:t>
      </w:r>
    </w:p>
  </w:endnote>
  <w:endnote w:id="110">
    <w:p w14:paraId="523831BD" w14:textId="77777777" w:rsidR="002B679D" w:rsidRDefault="002B679D" w:rsidP="002B5D21">
      <w:pPr>
        <w:pStyle w:val="EndnoteText"/>
      </w:pPr>
      <w:r>
        <w:rPr>
          <w:rStyle w:val="EndnoteReference"/>
        </w:rPr>
        <w:endnoteRef/>
      </w:r>
      <w:r>
        <w:t xml:space="preserve"> BAPEN, </w:t>
      </w:r>
      <w:hyperlink r:id="rId115" w:history="1">
        <w:r w:rsidRPr="00D1525D">
          <w:rPr>
            <w:rStyle w:val="Hyperlink"/>
          </w:rPr>
          <w:t>Nutritional screening surveys in hospitals</w:t>
        </w:r>
        <w:r>
          <w:rPr>
            <w:rStyle w:val="Hyperlink"/>
          </w:rPr>
          <w:t xml:space="preserve"> in the UK</w:t>
        </w:r>
        <w:r w:rsidRPr="00D1525D">
          <w:rPr>
            <w:rStyle w:val="Hyperlink"/>
          </w:rPr>
          <w:t xml:space="preserve"> 2007-2011</w:t>
        </w:r>
      </w:hyperlink>
      <w:r>
        <w:t xml:space="preserve"> (BAPEN, 2014)</w:t>
      </w:r>
    </w:p>
  </w:endnote>
  <w:endnote w:id="111">
    <w:p w14:paraId="50D90410" w14:textId="77777777" w:rsidR="002B679D" w:rsidRDefault="002B679D">
      <w:pPr>
        <w:pStyle w:val="EndnoteText"/>
      </w:pPr>
      <w:r>
        <w:rPr>
          <w:rStyle w:val="EndnoteReference"/>
        </w:rPr>
        <w:endnoteRef/>
      </w:r>
      <w:r>
        <w:t xml:space="preserve"> Care Quality Commission, </w:t>
      </w:r>
      <w:hyperlink r:id="rId116" w:history="1">
        <w:r w:rsidRPr="005D219B">
          <w:rPr>
            <w:rStyle w:val="Hyperlink"/>
          </w:rPr>
          <w:t>Time to listen in care homes: Dignity and nutrition inspection programme</w:t>
        </w:r>
      </w:hyperlink>
      <w:r>
        <w:t xml:space="preserve"> (CQC, 2013)</w:t>
      </w:r>
    </w:p>
  </w:endnote>
  <w:endnote w:id="112">
    <w:p w14:paraId="63AC44F5" w14:textId="56F805DE" w:rsidR="002B679D" w:rsidRDefault="002B679D" w:rsidP="00DF63B4">
      <w:pPr>
        <w:pStyle w:val="EndnoteText"/>
      </w:pPr>
      <w:r>
        <w:rPr>
          <w:rStyle w:val="EndnoteReference"/>
        </w:rPr>
        <w:endnoteRef/>
      </w:r>
      <w:r>
        <w:t xml:space="preserve"> Food Standards Scotland &amp; Food Standards Agency, </w:t>
      </w:r>
      <w:hyperlink r:id="rId117" w:history="1">
        <w:r w:rsidRPr="00D0639E">
          <w:rPr>
            <w:rStyle w:val="Hyperlink"/>
          </w:rPr>
          <w:t>Food crime annual strategic assessment: A 2016 Baseline</w:t>
        </w:r>
      </w:hyperlink>
      <w:r>
        <w:t xml:space="preserve"> (FSS &amp; FSA, 2016); hundreds of thousands of litres of counterfeit alcohol are seized every year – some of which contain toxic ingredients, the theft of livestock has increased by 500% in the last 5 years resulting in meat which should not enter the food chain entering – this is particularly problematic where veterinary medication is toxic to humans, the substance DNP sold online as a food supplement resulted in 6 UK deaths in 2015.</w:t>
      </w:r>
    </w:p>
  </w:endnote>
  <w:endnote w:id="113">
    <w:p w14:paraId="62DE47B0" w14:textId="77777777" w:rsidR="002B679D" w:rsidRDefault="002B679D" w:rsidP="00DF63B4">
      <w:pPr>
        <w:pStyle w:val="EndnoteText"/>
      </w:pPr>
      <w:r>
        <w:rPr>
          <w:rStyle w:val="EndnoteReference"/>
        </w:rPr>
        <w:endnoteRef/>
      </w:r>
      <w:r>
        <w:t xml:space="preserve"> C Elliot, </w:t>
      </w:r>
      <w:hyperlink r:id="rId118" w:history="1">
        <w:r w:rsidRPr="00A40E59">
          <w:rPr>
            <w:rStyle w:val="Hyperlink"/>
          </w:rPr>
          <w:t>Elliot review into the integrity and assurance of food supply networks</w:t>
        </w:r>
      </w:hyperlink>
      <w:r>
        <w:t xml:space="preserve"> (HM Government, 2014)</w:t>
      </w:r>
    </w:p>
  </w:endnote>
  <w:endnote w:id="114">
    <w:p w14:paraId="04711F3B" w14:textId="77777777" w:rsidR="002B679D" w:rsidRPr="00BB1D5C" w:rsidRDefault="002B679D" w:rsidP="00DF63B4">
      <w:pPr>
        <w:pStyle w:val="EndnoteText"/>
        <w:rPr>
          <w:i/>
        </w:rPr>
      </w:pPr>
      <w:r w:rsidRPr="00BB1D5C">
        <w:rPr>
          <w:rStyle w:val="EndnoteReference"/>
          <w:i/>
        </w:rPr>
        <w:endnoteRef/>
      </w:r>
      <w:r>
        <w:rPr>
          <w:i/>
        </w:rPr>
        <w:t xml:space="preserve"> </w:t>
      </w:r>
      <w:r w:rsidRPr="00A40E59">
        <w:t>FS</w:t>
      </w:r>
      <w:r>
        <w:t>S &amp; FSA,</w:t>
      </w:r>
      <w:r>
        <w:rPr>
          <w:i/>
        </w:rPr>
        <w:t xml:space="preserve"> </w:t>
      </w:r>
      <w:hyperlink r:id="rId119" w:history="1">
        <w:r w:rsidRPr="00D0639E">
          <w:rPr>
            <w:rStyle w:val="Hyperlink"/>
          </w:rPr>
          <w:t>Food crime annual strategic assessment: A 2016 Baseline</w:t>
        </w:r>
      </w:hyperlink>
      <w:r>
        <w:t xml:space="preserve"> (FSS &amp; FSA, 2016)</w:t>
      </w:r>
    </w:p>
  </w:endnote>
  <w:endnote w:id="115">
    <w:p w14:paraId="02C7CA51" w14:textId="77777777" w:rsidR="002B679D" w:rsidRDefault="002B679D" w:rsidP="00DF63B4">
      <w:pPr>
        <w:pStyle w:val="EndnoteText"/>
      </w:pPr>
      <w:r>
        <w:rPr>
          <w:rStyle w:val="EndnoteReference"/>
        </w:rPr>
        <w:endnoteRef/>
      </w:r>
      <w:r>
        <w:t xml:space="preserve"> </w:t>
      </w:r>
      <w:r w:rsidRPr="00BB1D5C">
        <w:rPr>
          <w:i/>
        </w:rPr>
        <w:t>Ibid</w:t>
      </w:r>
    </w:p>
  </w:endnote>
  <w:endnote w:id="116">
    <w:p w14:paraId="45A93B86" w14:textId="77777777" w:rsidR="002B679D" w:rsidRPr="000928A8" w:rsidRDefault="002B679D" w:rsidP="00DF63B4">
      <w:pPr>
        <w:pStyle w:val="EndnoteText"/>
        <w:rPr>
          <w:highlight w:val="yellow"/>
        </w:rPr>
      </w:pPr>
      <w:r>
        <w:rPr>
          <w:rStyle w:val="EndnoteReference"/>
        </w:rPr>
        <w:endnoteRef/>
      </w:r>
      <w:r>
        <w:t xml:space="preserve"> Pesticide Action Network </w:t>
      </w:r>
      <w:r w:rsidRPr="00D118FA">
        <w:t xml:space="preserve">UK, </w:t>
      </w:r>
      <w:hyperlink r:id="rId120" w:history="1">
        <w:r w:rsidRPr="00D118FA">
          <w:rPr>
            <w:rStyle w:val="Hyperlink"/>
          </w:rPr>
          <w:t>Pesticides on a plate</w:t>
        </w:r>
      </w:hyperlink>
      <w:r w:rsidRPr="00D118FA">
        <w:t xml:space="preserve"> (PAN, 2013)</w:t>
      </w:r>
    </w:p>
  </w:endnote>
  <w:endnote w:id="117">
    <w:p w14:paraId="085D6312" w14:textId="77777777" w:rsidR="002B679D" w:rsidRDefault="002B679D" w:rsidP="00DF63B4">
      <w:pPr>
        <w:pStyle w:val="EndnoteText"/>
      </w:pPr>
      <w:r>
        <w:rPr>
          <w:rStyle w:val="EndnoteReference"/>
        </w:rPr>
        <w:endnoteRef/>
      </w:r>
      <w:r>
        <w:t xml:space="preserve"> A </w:t>
      </w:r>
      <w:proofErr w:type="spellStart"/>
      <w:r>
        <w:t>Karabelas</w:t>
      </w:r>
      <w:proofErr w:type="spellEnd"/>
      <w:r>
        <w:t xml:space="preserve"> et al, </w:t>
      </w:r>
      <w:hyperlink r:id="rId121" w:history="1">
        <w:r w:rsidRPr="002A34D4">
          <w:rPr>
            <w:rStyle w:val="Hyperlink"/>
          </w:rPr>
          <w:t>Impact of European legislation on marketed pesticides – a view from the standpoint of health impact studies</w:t>
        </w:r>
      </w:hyperlink>
      <w:r>
        <w:t xml:space="preserve"> (2009) 35(7) Environment International 1096</w:t>
      </w:r>
    </w:p>
  </w:endnote>
  <w:endnote w:id="118">
    <w:p w14:paraId="01AE566D" w14:textId="77777777" w:rsidR="002B679D" w:rsidRDefault="002B679D" w:rsidP="00DF63B4">
      <w:pPr>
        <w:pStyle w:val="EndnoteText"/>
      </w:pPr>
      <w:r>
        <w:rPr>
          <w:rStyle w:val="EndnoteReference"/>
        </w:rPr>
        <w:endnoteRef/>
      </w:r>
      <w:r>
        <w:t xml:space="preserve"> </w:t>
      </w:r>
      <w:hyperlink r:id="rId122" w:history="1">
        <w:r w:rsidRPr="007F246E">
          <w:rPr>
            <w:rStyle w:val="Hyperlink"/>
          </w:rPr>
          <w:t>EU Directive 2009/128/EC</w:t>
        </w:r>
      </w:hyperlink>
      <w:r>
        <w:t xml:space="preserve">; </w:t>
      </w:r>
      <w:hyperlink r:id="rId123" w:history="1">
        <w:r w:rsidRPr="007F246E">
          <w:rPr>
            <w:rStyle w:val="Hyperlink"/>
          </w:rPr>
          <w:t>UK National Action Plan for the Sustainable use of Pesticides</w:t>
        </w:r>
      </w:hyperlink>
      <w:r>
        <w:t xml:space="preserve"> (DEFRA, 2013) D Carrington, </w:t>
      </w:r>
      <w:hyperlink r:id="rId124" w:history="1">
        <w:r w:rsidRPr="002A34D4">
          <w:rPr>
            <w:rStyle w:val="Hyperlink"/>
          </w:rPr>
          <w:t>Over 60% of breads sold in the UK contain pesticide residue</w:t>
        </w:r>
      </w:hyperlink>
      <w:r>
        <w:t xml:space="preserve"> (17 July 2015, The Guardian)</w:t>
      </w:r>
    </w:p>
  </w:endnote>
  <w:endnote w:id="119">
    <w:p w14:paraId="18363F82" w14:textId="77777777" w:rsidR="002B679D" w:rsidRDefault="002B679D" w:rsidP="00DF63B4">
      <w:pPr>
        <w:pStyle w:val="EndnoteText"/>
      </w:pPr>
      <w:r>
        <w:rPr>
          <w:rStyle w:val="EndnoteReference"/>
        </w:rPr>
        <w:endnoteRef/>
      </w:r>
      <w:r>
        <w:t xml:space="preserve"> The Expert Committee on Pesticide Residues in Food, </w:t>
      </w:r>
      <w:hyperlink r:id="rId125" w:history="1">
        <w:r w:rsidRPr="0094425F">
          <w:rPr>
            <w:rStyle w:val="Hyperlink"/>
          </w:rPr>
          <w:t>Report on the Pesticide Residues Monitoring Programme for Quarter 3, 2015</w:t>
        </w:r>
      </w:hyperlink>
      <w:r>
        <w:t xml:space="preserve"> (DEFRA Health and Safety Executive, 2016)</w:t>
      </w:r>
    </w:p>
  </w:endnote>
  <w:endnote w:id="120">
    <w:p w14:paraId="742F22A3" w14:textId="3D216E7B" w:rsidR="002B679D" w:rsidRDefault="002B679D" w:rsidP="00DF63B4">
      <w:pPr>
        <w:pStyle w:val="EndnoteText"/>
      </w:pPr>
      <w:r>
        <w:rPr>
          <w:rStyle w:val="EndnoteReference"/>
        </w:rPr>
        <w:endnoteRef/>
      </w:r>
      <w:r>
        <w:t xml:space="preserve"> Environment Agency, </w:t>
      </w:r>
      <w:hyperlink r:id="rId126" w:history="1">
        <w:r w:rsidRPr="00722A52">
          <w:rPr>
            <w:rStyle w:val="Hyperlink"/>
          </w:rPr>
          <w:t>Underground, under threat</w:t>
        </w:r>
      </w:hyperlink>
      <w:r>
        <w:t xml:space="preserve"> (EA, 2007); Scottish Environment Protection Agency, </w:t>
      </w:r>
      <w:hyperlink r:id="rId127" w:history="1">
        <w:r w:rsidRPr="00722A52">
          <w:rPr>
            <w:rStyle w:val="Hyperlink"/>
          </w:rPr>
          <w:t>The river basin management plan for the Scotland river basin district 2009-2015</w:t>
        </w:r>
      </w:hyperlink>
      <w:r>
        <w:t xml:space="preserve"> (SEPA, 2008)</w:t>
      </w:r>
    </w:p>
  </w:endnote>
  <w:endnote w:id="121">
    <w:p w14:paraId="4F50B1D6" w14:textId="77777777" w:rsidR="002B679D" w:rsidRDefault="002B679D" w:rsidP="00DF63B4">
      <w:pPr>
        <w:pStyle w:val="EndnoteText"/>
      </w:pPr>
      <w:r>
        <w:rPr>
          <w:rStyle w:val="EndnoteReference"/>
        </w:rPr>
        <w:endnoteRef/>
      </w:r>
      <w:r>
        <w:t xml:space="preserve"> Alliance to Save our Antibiotics, </w:t>
      </w:r>
      <w:hyperlink r:id="rId128" w:history="1">
        <w:r w:rsidRPr="00D91C34">
          <w:rPr>
            <w:rStyle w:val="Hyperlink"/>
          </w:rPr>
          <w:t>Antimicrobial resistance – why the irresponsible use of antibiotics in agriculture must stop</w:t>
        </w:r>
      </w:hyperlink>
      <w:r>
        <w:t xml:space="preserve"> (2015); former Chief Medical Officer, Profession Sir Liam Donaldson was quoted saying ‘every inappropriate use in animals or agriculture is potentially signing a death warrant for a future patient’ (2008)</w:t>
      </w:r>
    </w:p>
  </w:endnote>
  <w:endnote w:id="122">
    <w:p w14:paraId="65C34ADD" w14:textId="77777777" w:rsidR="002B679D" w:rsidRDefault="002B679D" w:rsidP="00DF63B4">
      <w:pPr>
        <w:pStyle w:val="EndnoteText"/>
      </w:pPr>
      <w:r>
        <w:rPr>
          <w:rStyle w:val="EndnoteReference"/>
        </w:rPr>
        <w:endnoteRef/>
      </w:r>
      <w:r>
        <w:t xml:space="preserve"> Scottish Government, </w:t>
      </w:r>
      <w:hyperlink r:id="rId129" w:history="1">
        <w:r w:rsidRPr="002D12E2">
          <w:rPr>
            <w:rStyle w:val="Hyperlink"/>
          </w:rPr>
          <w:t>GM Crop Ban</w:t>
        </w:r>
      </w:hyperlink>
      <w:r>
        <w:t xml:space="preserve"> (SG Press Release, 09 August 2015)</w:t>
      </w:r>
    </w:p>
  </w:endnote>
  <w:endnote w:id="123">
    <w:p w14:paraId="101BDE40" w14:textId="72C08F11" w:rsidR="002B679D" w:rsidRDefault="002B679D" w:rsidP="00B2692B">
      <w:pPr>
        <w:pStyle w:val="EndnoteText"/>
      </w:pPr>
      <w:r>
        <w:rPr>
          <w:rStyle w:val="EndnoteReference"/>
        </w:rPr>
        <w:endnoteRef/>
      </w:r>
      <w:r>
        <w:t xml:space="preserve"> Trussell Trust, </w:t>
      </w:r>
      <w:hyperlink r:id="rId130" w:history="1">
        <w:proofErr w:type="spellStart"/>
        <w:r w:rsidRPr="008528A9">
          <w:rPr>
            <w:rStyle w:val="Hyperlink"/>
          </w:rPr>
          <w:t>Foodbank</w:t>
        </w:r>
        <w:proofErr w:type="spellEnd"/>
        <w:r w:rsidRPr="008528A9">
          <w:rPr>
            <w:rStyle w:val="Hyperlink"/>
          </w:rPr>
          <w:t xml:space="preserve"> use remains at record high – press release</w:t>
        </w:r>
      </w:hyperlink>
      <w:r>
        <w:t xml:space="preserve"> (Trussell Trust</w:t>
      </w:r>
      <w:r w:rsidRPr="00B2692B">
        <w:t>, 2016); S</w:t>
      </w:r>
      <w:r>
        <w:t xml:space="preserve"> Fitzpatrick et al, </w:t>
      </w:r>
      <w:hyperlink r:id="rId131" w:history="1">
        <w:r w:rsidRPr="009A1CE1">
          <w:rPr>
            <w:rStyle w:val="Hyperlink"/>
          </w:rPr>
          <w:t>Destitution in the UK</w:t>
        </w:r>
      </w:hyperlink>
      <w:r>
        <w:t xml:space="preserve"> (Joseph </w:t>
      </w:r>
      <w:proofErr w:type="spellStart"/>
      <w:r>
        <w:t>Rowntree</w:t>
      </w:r>
      <w:proofErr w:type="spellEnd"/>
      <w:r>
        <w:t xml:space="preserve"> Foundation, 2016)</w:t>
      </w:r>
    </w:p>
  </w:endnote>
  <w:endnote w:id="124">
    <w:p w14:paraId="03B5802C" w14:textId="479199CD" w:rsidR="002B679D" w:rsidRPr="00A351B5" w:rsidRDefault="002B679D">
      <w:pPr>
        <w:pStyle w:val="EndnoteText"/>
        <w:rPr>
          <w:lang w:val="en-US"/>
        </w:rPr>
      </w:pPr>
      <w:r>
        <w:rPr>
          <w:rStyle w:val="EndnoteReference"/>
        </w:rPr>
        <w:endnoteRef/>
      </w:r>
      <w:r>
        <w:t xml:space="preserve"> </w:t>
      </w:r>
      <w:r>
        <w:rPr>
          <w:lang w:val="en-US"/>
        </w:rPr>
        <w:t xml:space="preserve">J Perry et al, </w:t>
      </w:r>
      <w:hyperlink r:id="rId132" w:history="1">
        <w:r w:rsidRPr="00A351B5">
          <w:rPr>
            <w:rStyle w:val="Hyperlink"/>
            <w:lang w:val="en-US"/>
          </w:rPr>
          <w:t>Emergency Use Only: Understanding and Reducing the Use of Food Banks in the UK</w:t>
        </w:r>
      </w:hyperlink>
      <w:r>
        <w:rPr>
          <w:lang w:val="en-US"/>
        </w:rPr>
        <w:t xml:space="preserve"> (Child Poverty Action Group, Church of England, Oxfam GB and The </w:t>
      </w:r>
      <w:proofErr w:type="spellStart"/>
      <w:r>
        <w:rPr>
          <w:lang w:val="en-US"/>
        </w:rPr>
        <w:t>Trussell</w:t>
      </w:r>
      <w:proofErr w:type="spellEnd"/>
      <w:r>
        <w:rPr>
          <w:lang w:val="en-US"/>
        </w:rPr>
        <w:t xml:space="preserve"> Trust, 2014)</w:t>
      </w:r>
    </w:p>
  </w:endnote>
  <w:endnote w:id="125">
    <w:p w14:paraId="1829E830" w14:textId="77777777" w:rsidR="002B679D" w:rsidRDefault="002B679D" w:rsidP="00897E04">
      <w:pPr>
        <w:pStyle w:val="EndnoteText"/>
      </w:pPr>
      <w:r>
        <w:rPr>
          <w:rStyle w:val="EndnoteReference"/>
        </w:rPr>
        <w:endnoteRef/>
      </w:r>
      <w:r>
        <w:t xml:space="preserve"> </w:t>
      </w:r>
      <w:hyperlink r:id="rId133" w:history="1">
        <w:r w:rsidRPr="00ED3B9A">
          <w:rPr>
            <w:rStyle w:val="Hyperlink"/>
          </w:rPr>
          <w:t>The Welfare Funds (Scotland) Act</w:t>
        </w:r>
      </w:hyperlink>
      <w:r>
        <w:t xml:space="preserve"> 2015</w:t>
      </w:r>
    </w:p>
  </w:endnote>
  <w:endnote w:id="126">
    <w:p w14:paraId="1ABD2FFD" w14:textId="77777777" w:rsidR="002B679D" w:rsidRDefault="002B679D" w:rsidP="00897E04">
      <w:pPr>
        <w:pStyle w:val="EndnoteText"/>
      </w:pPr>
      <w:r>
        <w:rPr>
          <w:rStyle w:val="EndnoteReference"/>
        </w:rPr>
        <w:endnoteRef/>
      </w:r>
      <w:r>
        <w:t xml:space="preserve"> N Lanarkshire Food Poverty Working Group, Food poverty referral pathways interim monitoring report (N Lanarkshire Council, 2015)</w:t>
      </w:r>
    </w:p>
  </w:endnote>
  <w:endnote w:id="127">
    <w:p w14:paraId="66E6B960" w14:textId="176EAC8D" w:rsidR="002B679D" w:rsidRDefault="002B679D" w:rsidP="00897E04">
      <w:pPr>
        <w:pStyle w:val="EndnoteText"/>
      </w:pPr>
      <w:r>
        <w:rPr>
          <w:rStyle w:val="EndnoteReference"/>
        </w:rPr>
        <w:endnoteRef/>
      </w:r>
      <w:r>
        <w:t xml:space="preserve"> Trussell Trust Scotland evidence to Short Life Working Group on Food Poverty 2016 (available by request)</w:t>
      </w:r>
    </w:p>
  </w:endnote>
  <w:endnote w:id="128">
    <w:p w14:paraId="2B0CC47C" w14:textId="77777777" w:rsidR="002B679D" w:rsidRDefault="002B679D" w:rsidP="00897E04">
      <w:pPr>
        <w:pStyle w:val="EndnoteText"/>
      </w:pPr>
      <w:r>
        <w:rPr>
          <w:rStyle w:val="EndnoteReference"/>
        </w:rPr>
        <w:endnoteRef/>
      </w:r>
      <w:r>
        <w:t xml:space="preserve"> Care Inspectorate, </w:t>
      </w:r>
      <w:hyperlink r:id="rId134" w:history="1">
        <w:r w:rsidRPr="0047670C">
          <w:rPr>
            <w:rStyle w:val="Hyperlink"/>
          </w:rPr>
          <w:t>Complaints about care services in Scotland, 2008-2013</w:t>
        </w:r>
      </w:hyperlink>
      <w:r>
        <w:t xml:space="preserve"> (Care Inspectorate, 2014)</w:t>
      </w:r>
    </w:p>
  </w:endnote>
  <w:endnote w:id="129">
    <w:p w14:paraId="23DA9DDE" w14:textId="77777777" w:rsidR="002B679D" w:rsidRDefault="002B679D">
      <w:pPr>
        <w:pStyle w:val="EndnoteText"/>
      </w:pPr>
      <w:r>
        <w:rPr>
          <w:rStyle w:val="EndnoteReference"/>
        </w:rPr>
        <w:endnoteRef/>
      </w:r>
      <w:r>
        <w:t xml:space="preserve"> </w:t>
      </w:r>
      <w:r w:rsidRPr="00CA22C6">
        <w:t>DEFRA</w:t>
      </w:r>
      <w:r>
        <w:t xml:space="preserve">, </w:t>
      </w:r>
      <w:hyperlink r:id="rId135" w:history="1">
        <w:r w:rsidRPr="007B5276">
          <w:rPr>
            <w:rStyle w:val="Hyperlink"/>
          </w:rPr>
          <w:t>Agriculture in the UK 2014</w:t>
        </w:r>
      </w:hyperlink>
      <w:r>
        <w:t xml:space="preserve"> (DEFRA, 2015); DEFRA, </w:t>
      </w:r>
      <w:hyperlink r:id="rId136" w:history="1">
        <w:r w:rsidRPr="00CA22C6">
          <w:rPr>
            <w:rStyle w:val="Hyperlink"/>
          </w:rPr>
          <w:t>Agriculture in the UK 2004</w:t>
        </w:r>
      </w:hyperlink>
      <w:r>
        <w:t xml:space="preserve"> (DEFRA, 2005); Eurostat, </w:t>
      </w:r>
      <w:hyperlink r:id="rId137" w:anchor="The_size_of_agricultural_holdings" w:history="1">
        <w:r w:rsidRPr="00185E26">
          <w:rPr>
            <w:rStyle w:val="Hyperlink"/>
          </w:rPr>
          <w:t xml:space="preserve">Farm </w:t>
        </w:r>
        <w:r>
          <w:rPr>
            <w:rStyle w:val="Hyperlink"/>
          </w:rPr>
          <w:t>S</w:t>
        </w:r>
        <w:r w:rsidRPr="00185E26">
          <w:rPr>
            <w:rStyle w:val="Hyperlink"/>
          </w:rPr>
          <w:t>tructure Statistics</w:t>
        </w:r>
      </w:hyperlink>
      <w:r>
        <w:t xml:space="preserve"> (Eurostat, 2015)</w:t>
      </w:r>
    </w:p>
  </w:endnote>
  <w:endnote w:id="130">
    <w:p w14:paraId="14E718CE" w14:textId="77777777" w:rsidR="002B679D" w:rsidRDefault="002B679D">
      <w:pPr>
        <w:pStyle w:val="EndnoteText"/>
      </w:pPr>
      <w:r>
        <w:rPr>
          <w:rStyle w:val="EndnoteReference"/>
        </w:rPr>
        <w:endnoteRef/>
      </w:r>
      <w:r>
        <w:t xml:space="preserve"> Scottish Parliament Information Centre, </w:t>
      </w:r>
      <w:hyperlink r:id="rId138" w:history="1">
        <w:r w:rsidRPr="00317BDF">
          <w:rPr>
            <w:rStyle w:val="Hyperlink"/>
          </w:rPr>
          <w:t>Briefing: Tenant Farming</w:t>
        </w:r>
      </w:hyperlink>
      <w:r>
        <w:t xml:space="preserve"> (</w:t>
      </w:r>
      <w:proofErr w:type="spellStart"/>
      <w:r>
        <w:t>SPICe</w:t>
      </w:r>
      <w:proofErr w:type="spellEnd"/>
      <w:r>
        <w:t>, 2014) 14/52</w:t>
      </w:r>
    </w:p>
  </w:endnote>
  <w:endnote w:id="131">
    <w:p w14:paraId="00AF516F" w14:textId="77777777" w:rsidR="002B679D" w:rsidRDefault="002B679D">
      <w:pPr>
        <w:pStyle w:val="EndnoteText"/>
      </w:pPr>
      <w:r>
        <w:rPr>
          <w:rStyle w:val="EndnoteReference"/>
        </w:rPr>
        <w:endnoteRef/>
      </w:r>
      <w:r>
        <w:t xml:space="preserve"> Land Reform (Scotland) Act 2016</w:t>
      </w:r>
    </w:p>
  </w:endnote>
  <w:endnote w:id="132">
    <w:p w14:paraId="60D3C472" w14:textId="77777777" w:rsidR="002B679D" w:rsidRDefault="002B679D">
      <w:pPr>
        <w:pStyle w:val="EndnoteText"/>
      </w:pPr>
      <w:r>
        <w:rPr>
          <w:rStyle w:val="EndnoteReference"/>
        </w:rPr>
        <w:endnoteRef/>
      </w:r>
      <w:r>
        <w:t xml:space="preserve"> Community Empowerment (Scotland) Act 2015</w:t>
      </w:r>
    </w:p>
  </w:endnote>
  <w:endnote w:id="133">
    <w:p w14:paraId="12C88F62" w14:textId="649F6577" w:rsidR="002B679D" w:rsidRPr="0028121D" w:rsidRDefault="002B679D">
      <w:pPr>
        <w:pStyle w:val="EndnoteText"/>
        <w:rPr>
          <w:lang w:val="en-US"/>
        </w:rPr>
      </w:pPr>
      <w:r>
        <w:rPr>
          <w:rStyle w:val="EndnoteReference"/>
        </w:rPr>
        <w:endnoteRef/>
      </w:r>
      <w:r>
        <w:t xml:space="preserve"> </w:t>
      </w:r>
      <w:r>
        <w:rPr>
          <w:lang w:val="en-US"/>
        </w:rPr>
        <w:t xml:space="preserve">Scottish Environment LINK, </w:t>
      </w:r>
      <w:hyperlink r:id="rId139" w:history="1">
        <w:r w:rsidRPr="0028121D">
          <w:rPr>
            <w:rStyle w:val="Hyperlink"/>
            <w:lang w:val="en-US"/>
          </w:rPr>
          <w:t>Press Release: environmental groups urge caution on new marine plan</w:t>
        </w:r>
      </w:hyperlink>
      <w:r>
        <w:rPr>
          <w:lang w:val="en-US"/>
        </w:rPr>
        <w:t xml:space="preserve"> (LINK, 27 March 2015)</w:t>
      </w:r>
    </w:p>
  </w:endnote>
  <w:endnote w:id="134">
    <w:p w14:paraId="10086022" w14:textId="64CF0C71" w:rsidR="002B679D" w:rsidRPr="0028121D" w:rsidRDefault="002B679D">
      <w:pPr>
        <w:pStyle w:val="EndnoteText"/>
        <w:rPr>
          <w:lang w:val="en-US"/>
        </w:rPr>
      </w:pPr>
      <w:r>
        <w:rPr>
          <w:rStyle w:val="EndnoteReference"/>
        </w:rPr>
        <w:endnoteRef/>
      </w:r>
      <w:r>
        <w:t xml:space="preserve"> </w:t>
      </w:r>
      <w:r>
        <w:rPr>
          <w:lang w:val="en-US"/>
        </w:rPr>
        <w:t xml:space="preserve">For further comment see Scottish Food Coalition, </w:t>
      </w:r>
      <w:hyperlink r:id="rId140" w:history="1">
        <w:r w:rsidRPr="0028121D">
          <w:rPr>
            <w:rStyle w:val="Hyperlink"/>
            <w:lang w:val="en-US"/>
          </w:rPr>
          <w:t>PLENTY: Food, Farming and Health in a New Scotland</w:t>
        </w:r>
      </w:hyperlink>
      <w:r>
        <w:rPr>
          <w:lang w:val="en-US"/>
        </w:rPr>
        <w:t xml:space="preserve"> (Scottish Food Coalition, 2016)</w:t>
      </w:r>
    </w:p>
  </w:endnote>
  <w:endnote w:id="135">
    <w:p w14:paraId="3544E76E" w14:textId="0826B43C" w:rsidR="002B679D" w:rsidRPr="00CC5ED5" w:rsidRDefault="002B679D">
      <w:pPr>
        <w:pStyle w:val="EndnoteText"/>
        <w:rPr>
          <w:lang w:val="en-US"/>
        </w:rPr>
      </w:pPr>
      <w:r>
        <w:rPr>
          <w:rStyle w:val="EndnoteReference"/>
        </w:rPr>
        <w:endnoteRef/>
      </w:r>
      <w:r>
        <w:t xml:space="preserve"> </w:t>
      </w:r>
      <w:r>
        <w:rPr>
          <w:lang w:val="en-US"/>
        </w:rPr>
        <w:t xml:space="preserve">Scottish Government, </w:t>
      </w:r>
      <w:hyperlink r:id="rId141" w:history="1">
        <w:r w:rsidRPr="00CC5ED5">
          <w:rPr>
            <w:rStyle w:val="Hyperlink"/>
            <w:lang w:val="en-US"/>
          </w:rPr>
          <w:t>Annual Estimates of Scottish Farm Business Income</w:t>
        </w:r>
      </w:hyperlink>
      <w:r>
        <w:rPr>
          <w:lang w:val="en-US"/>
        </w:rPr>
        <w:t xml:space="preserve"> (FBI) (SG, 2016)</w:t>
      </w:r>
    </w:p>
  </w:endnote>
  <w:endnote w:id="136">
    <w:p w14:paraId="3724414D" w14:textId="77777777" w:rsidR="002B679D" w:rsidRDefault="002B679D">
      <w:pPr>
        <w:pStyle w:val="EndnoteText"/>
      </w:pPr>
      <w:r>
        <w:rPr>
          <w:rStyle w:val="EndnoteReference"/>
        </w:rPr>
        <w:endnoteRef/>
      </w:r>
      <w:r>
        <w:t xml:space="preserve"> </w:t>
      </w:r>
      <w:r w:rsidRPr="00CA22C6">
        <w:t>DEFRA</w:t>
      </w:r>
      <w:r>
        <w:t xml:space="preserve">, </w:t>
      </w:r>
      <w:hyperlink r:id="rId142" w:history="1">
        <w:r w:rsidRPr="007B5276">
          <w:rPr>
            <w:rStyle w:val="Hyperlink"/>
          </w:rPr>
          <w:t>Agriculture in the UK 2014</w:t>
        </w:r>
      </w:hyperlink>
      <w:r>
        <w:t xml:space="preserve"> (DEFRA, 2015)</w:t>
      </w:r>
    </w:p>
  </w:endnote>
  <w:endnote w:id="137">
    <w:p w14:paraId="04E9FDE5" w14:textId="1C363CEE" w:rsidR="002B679D" w:rsidRDefault="002B679D" w:rsidP="00232062">
      <w:pPr>
        <w:pStyle w:val="EndnoteText"/>
      </w:pPr>
      <w:r>
        <w:rPr>
          <w:rStyle w:val="EndnoteReference"/>
        </w:rPr>
        <w:endnoteRef/>
      </w:r>
      <w:r>
        <w:t xml:space="preserve"> The Food Foundation, </w:t>
      </w:r>
      <w:hyperlink r:id="rId143" w:history="1">
        <w:r w:rsidRPr="00A30912">
          <w:rPr>
            <w:rStyle w:val="Hyperlink"/>
          </w:rPr>
          <w:t>Force-Fed: Does the food system constrict healthy choices for typical British families?</w:t>
        </w:r>
      </w:hyperlink>
      <w:r>
        <w:t xml:space="preserve"> (Food Foundation, 2015)</w:t>
      </w:r>
    </w:p>
  </w:endnote>
  <w:endnote w:id="138">
    <w:p w14:paraId="1FBDE248" w14:textId="77777777" w:rsidR="002B679D" w:rsidRDefault="002B679D">
      <w:pPr>
        <w:pStyle w:val="EndnoteText"/>
      </w:pPr>
      <w:r>
        <w:rPr>
          <w:rStyle w:val="EndnoteReference"/>
        </w:rPr>
        <w:endnoteRef/>
      </w:r>
      <w:r>
        <w:t xml:space="preserve"> DEFRA, </w:t>
      </w:r>
      <w:hyperlink r:id="rId144" w:history="1">
        <w:r w:rsidRPr="00AD0998">
          <w:rPr>
            <w:rStyle w:val="Hyperlink"/>
          </w:rPr>
          <w:t>UK milk prices and composition of milk</w:t>
        </w:r>
      </w:hyperlink>
      <w:r>
        <w:t xml:space="preserve"> (DEFRA, 2016)</w:t>
      </w:r>
    </w:p>
  </w:endnote>
  <w:endnote w:id="139">
    <w:p w14:paraId="529E9E73" w14:textId="77777777" w:rsidR="002B679D" w:rsidRDefault="002B679D">
      <w:pPr>
        <w:pStyle w:val="EndnoteText"/>
      </w:pPr>
      <w:r>
        <w:rPr>
          <w:rStyle w:val="EndnoteReference"/>
        </w:rPr>
        <w:endnoteRef/>
      </w:r>
      <w:r>
        <w:t xml:space="preserve"> A Bate, </w:t>
      </w:r>
      <w:hyperlink r:id="rId145" w:history="1">
        <w:r w:rsidRPr="00AD0998">
          <w:rPr>
            <w:rStyle w:val="Hyperlink"/>
          </w:rPr>
          <w:t>Briefing: UK Dairy Industry Statistics</w:t>
        </w:r>
      </w:hyperlink>
      <w:r>
        <w:t xml:space="preserve"> (House of Commons Library, 2016)</w:t>
      </w:r>
    </w:p>
  </w:endnote>
  <w:endnote w:id="140">
    <w:p w14:paraId="2A3187C2" w14:textId="77777777" w:rsidR="002B679D" w:rsidRDefault="002B679D">
      <w:pPr>
        <w:pStyle w:val="EndnoteText"/>
      </w:pPr>
      <w:r>
        <w:rPr>
          <w:rStyle w:val="EndnoteReference"/>
        </w:rPr>
        <w:endnoteRef/>
      </w:r>
      <w:r>
        <w:t xml:space="preserve"> A </w:t>
      </w:r>
      <w:proofErr w:type="spellStart"/>
      <w:r>
        <w:t>Seely</w:t>
      </w:r>
      <w:proofErr w:type="spellEnd"/>
      <w:r>
        <w:t xml:space="preserve">, </w:t>
      </w:r>
      <w:hyperlink r:id="rId146" w:history="1">
        <w:r w:rsidRPr="00490E70">
          <w:rPr>
            <w:rStyle w:val="Hyperlink"/>
          </w:rPr>
          <w:t>Briefing: Supermarkets: The Groceries Code Adjudicator</w:t>
        </w:r>
      </w:hyperlink>
      <w:r>
        <w:t xml:space="preserve"> (House of Commons Library, 2015)</w:t>
      </w:r>
    </w:p>
  </w:endnote>
  <w:endnote w:id="141">
    <w:p w14:paraId="4931D91F" w14:textId="77777777" w:rsidR="002B679D" w:rsidRDefault="002B679D">
      <w:pPr>
        <w:pStyle w:val="EndnoteText"/>
      </w:pPr>
      <w:r>
        <w:rPr>
          <w:rStyle w:val="EndnoteReference"/>
        </w:rPr>
        <w:endnoteRef/>
      </w:r>
      <w:r>
        <w:t xml:space="preserve"> Groceries Code Adjudicator, </w:t>
      </w:r>
      <w:hyperlink r:id="rId147" w:history="1">
        <w:r w:rsidRPr="00CB4C44">
          <w:rPr>
            <w:rStyle w:val="Hyperlink"/>
          </w:rPr>
          <w:t xml:space="preserve">Investigation in to Tesco </w:t>
        </w:r>
        <w:proofErr w:type="spellStart"/>
        <w:r w:rsidRPr="00CB4C44">
          <w:rPr>
            <w:rStyle w:val="Hyperlink"/>
          </w:rPr>
          <w:t>plc</w:t>
        </w:r>
        <w:proofErr w:type="spellEnd"/>
      </w:hyperlink>
      <w:r>
        <w:t xml:space="preserve"> (GCA, 2016)</w:t>
      </w:r>
    </w:p>
  </w:endnote>
  <w:endnote w:id="142">
    <w:p w14:paraId="4A5A5975" w14:textId="7DF26880" w:rsidR="002B679D" w:rsidRPr="00183880" w:rsidRDefault="002B679D">
      <w:pPr>
        <w:pStyle w:val="EndnoteText"/>
        <w:rPr>
          <w:lang w:val="en-US"/>
        </w:rPr>
      </w:pPr>
      <w:r>
        <w:rPr>
          <w:rStyle w:val="EndnoteReference"/>
        </w:rPr>
        <w:endnoteRef/>
      </w:r>
      <w:r>
        <w:t xml:space="preserve"> </w:t>
      </w:r>
      <w:r>
        <w:rPr>
          <w:lang w:val="en-US"/>
        </w:rPr>
        <w:t xml:space="preserve">J Edmondson et al, </w:t>
      </w:r>
      <w:hyperlink r:id="rId148" w:history="1">
        <w:r w:rsidRPr="00183880">
          <w:rPr>
            <w:rStyle w:val="Hyperlink"/>
            <w:lang w:val="en-US"/>
          </w:rPr>
          <w:t>Urban cultivation in allotments maintains soil qualities adversely affected by conventional agriculture</w:t>
        </w:r>
      </w:hyperlink>
      <w:r>
        <w:rPr>
          <w:lang w:val="en-US"/>
        </w:rPr>
        <w:t xml:space="preserve"> (2014) 51 Journal of Applied Ecology 880</w:t>
      </w:r>
    </w:p>
  </w:endnote>
  <w:endnote w:id="143">
    <w:p w14:paraId="708064A6" w14:textId="32893ACB" w:rsidR="002B679D" w:rsidRPr="00F833BF" w:rsidRDefault="002B679D">
      <w:pPr>
        <w:pStyle w:val="EndnoteText"/>
        <w:rPr>
          <w:lang w:val="en-US"/>
        </w:rPr>
      </w:pPr>
      <w:r>
        <w:rPr>
          <w:rStyle w:val="EndnoteReference"/>
        </w:rPr>
        <w:endnoteRef/>
      </w:r>
      <w:r>
        <w:t xml:space="preserve"> RSPB et al, </w:t>
      </w:r>
      <w:hyperlink r:id="rId149" w:history="1">
        <w:r w:rsidRPr="00F833BF">
          <w:rPr>
            <w:rStyle w:val="Hyperlink"/>
          </w:rPr>
          <w:t xml:space="preserve">UK </w:t>
        </w:r>
        <w:r w:rsidRPr="00F833BF">
          <w:rPr>
            <w:rStyle w:val="Hyperlink"/>
            <w:lang w:val="en-US"/>
          </w:rPr>
          <w:t>State of Nature Report 2013</w:t>
        </w:r>
      </w:hyperlink>
      <w:r>
        <w:rPr>
          <w:lang w:val="en-US"/>
        </w:rPr>
        <w:t xml:space="preserve"> (RSPB, 2013)</w:t>
      </w:r>
    </w:p>
  </w:endnote>
  <w:endnote w:id="144">
    <w:p w14:paraId="4262D91E" w14:textId="012B7505" w:rsidR="002B679D" w:rsidRDefault="002B679D" w:rsidP="007B766F">
      <w:pPr>
        <w:pStyle w:val="EndnoteText"/>
      </w:pPr>
      <w:r>
        <w:rPr>
          <w:rStyle w:val="EndnoteReference"/>
        </w:rPr>
        <w:endnoteRef/>
      </w:r>
      <w:r>
        <w:t xml:space="preserve"> Nourish Scotland, </w:t>
      </w:r>
      <w:hyperlink r:id="rId150" w:history="1">
        <w:r w:rsidRPr="007B766F">
          <w:rPr>
            <w:rStyle w:val="Hyperlink"/>
          </w:rPr>
          <w:t>Response to Scottish Government Consultation on the Future of Scottish Agriculture</w:t>
        </w:r>
      </w:hyperlink>
      <w:r>
        <w:t xml:space="preserve"> (Nourish Scotland, 2016)</w:t>
      </w:r>
    </w:p>
  </w:endnote>
  <w:endnote w:id="145">
    <w:p w14:paraId="53749737" w14:textId="45366C96" w:rsidR="002B679D" w:rsidRPr="003928E9" w:rsidRDefault="002B679D">
      <w:pPr>
        <w:pStyle w:val="EndnoteText"/>
        <w:rPr>
          <w:lang w:val="en-US"/>
        </w:rPr>
      </w:pPr>
      <w:r>
        <w:rPr>
          <w:rStyle w:val="EndnoteReference"/>
        </w:rPr>
        <w:endnoteRef/>
      </w:r>
      <w:r>
        <w:t xml:space="preserve"> </w:t>
      </w:r>
      <w:r>
        <w:rPr>
          <w:lang w:val="en-US"/>
        </w:rPr>
        <w:t xml:space="preserve">Scottish Government, </w:t>
      </w:r>
      <w:hyperlink r:id="rId151" w:history="1">
        <w:r w:rsidRPr="003928E9">
          <w:rPr>
            <w:rStyle w:val="Hyperlink"/>
            <w:lang w:val="en-US"/>
          </w:rPr>
          <w:t>Scottish Greenhouse Gas Emissions 2013</w:t>
        </w:r>
      </w:hyperlink>
      <w:r>
        <w:rPr>
          <w:lang w:val="en-US"/>
        </w:rPr>
        <w:t xml:space="preserve"> (SG, 2015)</w:t>
      </w:r>
    </w:p>
  </w:endnote>
  <w:endnote w:id="146">
    <w:p w14:paraId="6AB26C74" w14:textId="3572085C" w:rsidR="002B679D" w:rsidRPr="00911AEB" w:rsidRDefault="002B679D">
      <w:pPr>
        <w:pStyle w:val="EndnoteText"/>
        <w:rPr>
          <w:lang w:val="en-US"/>
        </w:rPr>
      </w:pPr>
      <w:r>
        <w:rPr>
          <w:rStyle w:val="EndnoteReference"/>
        </w:rPr>
        <w:endnoteRef/>
      </w:r>
      <w:r>
        <w:t xml:space="preserve"> </w:t>
      </w:r>
      <w:hyperlink r:id="rId152" w:history="1">
        <w:r w:rsidRPr="00911AEB">
          <w:rPr>
            <w:rStyle w:val="Hyperlink"/>
            <w:lang w:val="en-US"/>
          </w:rPr>
          <w:t>Climate Change (Duties of Public Bodies: Reporting Requirements) (Scotland)</w:t>
        </w:r>
      </w:hyperlink>
      <w:r>
        <w:rPr>
          <w:lang w:val="en-US"/>
        </w:rPr>
        <w:t xml:space="preserve"> Order 2015 No. 347</w:t>
      </w:r>
    </w:p>
  </w:endnote>
  <w:endnote w:id="147">
    <w:p w14:paraId="4A56A1A6" w14:textId="77777777" w:rsidR="002B679D" w:rsidRDefault="002B679D" w:rsidP="007F7745">
      <w:pPr>
        <w:pStyle w:val="EndnoteText"/>
      </w:pPr>
      <w:r>
        <w:rPr>
          <w:rStyle w:val="EndnoteReference"/>
        </w:rPr>
        <w:endnoteRef/>
      </w:r>
      <w:r>
        <w:t xml:space="preserve"> DEFRA, </w:t>
      </w:r>
      <w:hyperlink r:id="rId153" w:history="1">
        <w:r w:rsidRPr="00712499">
          <w:rPr>
            <w:rStyle w:val="Hyperlink"/>
          </w:rPr>
          <w:t>Organic Farming Statistics 2014</w:t>
        </w:r>
      </w:hyperlink>
      <w:r>
        <w:t xml:space="preserve"> (DEFRA, 2015)</w:t>
      </w:r>
    </w:p>
  </w:endnote>
  <w:endnote w:id="148">
    <w:p w14:paraId="0357AE1E" w14:textId="4EF2E920" w:rsidR="002B679D" w:rsidRPr="008B7237" w:rsidRDefault="002B679D">
      <w:pPr>
        <w:pStyle w:val="EndnoteText"/>
        <w:rPr>
          <w:lang w:val="en-US"/>
        </w:rPr>
      </w:pPr>
      <w:r>
        <w:rPr>
          <w:rStyle w:val="EndnoteReference"/>
        </w:rPr>
        <w:endnoteRef/>
      </w:r>
      <w:r>
        <w:t xml:space="preserve"> </w:t>
      </w:r>
      <w:r>
        <w:rPr>
          <w:lang w:val="en-US"/>
        </w:rPr>
        <w:t xml:space="preserve">M </w:t>
      </w:r>
      <w:proofErr w:type="spellStart"/>
      <w:r>
        <w:rPr>
          <w:lang w:val="en-US"/>
        </w:rPr>
        <w:t>Padley</w:t>
      </w:r>
      <w:proofErr w:type="spellEnd"/>
      <w:r>
        <w:rPr>
          <w:lang w:val="en-US"/>
        </w:rPr>
        <w:t xml:space="preserve"> et al, </w:t>
      </w:r>
      <w:hyperlink r:id="rId154" w:history="1">
        <w:r w:rsidRPr="008B7237">
          <w:rPr>
            <w:rStyle w:val="Hyperlink"/>
            <w:lang w:val="en-US"/>
          </w:rPr>
          <w:t>Households Below a Minimum Income Standard</w:t>
        </w:r>
      </w:hyperlink>
      <w:r>
        <w:rPr>
          <w:lang w:val="en-US"/>
        </w:rPr>
        <w:t xml:space="preserve"> (JRF, 2015)</w:t>
      </w:r>
    </w:p>
  </w:endnote>
  <w:endnote w:id="149">
    <w:p w14:paraId="380DC51F" w14:textId="77777777" w:rsidR="002B679D" w:rsidRDefault="002B679D">
      <w:pPr>
        <w:pStyle w:val="EndnoteText"/>
      </w:pPr>
      <w:r>
        <w:rPr>
          <w:rStyle w:val="EndnoteReference"/>
        </w:rPr>
        <w:endnoteRef/>
      </w:r>
      <w:r>
        <w:t xml:space="preserve"> D Hirsch and L </w:t>
      </w:r>
      <w:proofErr w:type="spellStart"/>
      <w:r>
        <w:t>Valadaz</w:t>
      </w:r>
      <w:proofErr w:type="spellEnd"/>
      <w:r>
        <w:fldChar w:fldCharType="begin"/>
      </w:r>
      <w:r>
        <w:instrText xml:space="preserve"> HYPERLINK "http://www.lboro.ac.uk/media/wwwlboroacuk/content/crsp/downloads/reports/Child%20Poverty%20after%20Childcare%20Costs.pdf" </w:instrText>
      </w:r>
      <w:r>
        <w:fldChar w:fldCharType="separate"/>
      </w:r>
      <w:r w:rsidRPr="002E178B">
        <w:rPr>
          <w:rStyle w:val="Hyperlink"/>
        </w:rPr>
        <w:t>, How much does the official measure of child poverty under-estimate its extent by failing to take account for childcare costs</w:t>
      </w:r>
      <w:r>
        <w:rPr>
          <w:rStyle w:val="Hyperlink"/>
        </w:rPr>
        <w:fldChar w:fldCharType="end"/>
      </w:r>
      <w:r>
        <w:t xml:space="preserve"> (Loughborough University, 2015)</w:t>
      </w:r>
    </w:p>
  </w:endnote>
  <w:endnote w:id="150">
    <w:p w14:paraId="68E13F17" w14:textId="00F60CED" w:rsidR="002B679D" w:rsidRPr="008C1132" w:rsidRDefault="002B679D">
      <w:pPr>
        <w:pStyle w:val="EndnoteText"/>
        <w:rPr>
          <w:lang w:val="en-US"/>
        </w:rPr>
      </w:pPr>
      <w:r>
        <w:rPr>
          <w:rStyle w:val="EndnoteReference"/>
        </w:rPr>
        <w:endnoteRef/>
      </w:r>
      <w:r>
        <w:t xml:space="preserve"> </w:t>
      </w:r>
      <w:r>
        <w:rPr>
          <w:lang w:val="en-US"/>
        </w:rPr>
        <w:t xml:space="preserve">Communities Analytical Services, </w:t>
      </w:r>
      <w:hyperlink r:id="rId155" w:history="1">
        <w:r w:rsidRPr="008C1132">
          <w:rPr>
            <w:rStyle w:val="Hyperlink"/>
            <w:lang w:val="en-US"/>
          </w:rPr>
          <w:t>Severe Poverty in Scotland</w:t>
        </w:r>
      </w:hyperlink>
      <w:r>
        <w:rPr>
          <w:lang w:val="en-US"/>
        </w:rPr>
        <w:t xml:space="preserve"> (Scottish Government, 2015)</w:t>
      </w:r>
    </w:p>
  </w:endnote>
  <w:endnote w:id="151">
    <w:p w14:paraId="7E77D01C" w14:textId="19FD2FFD" w:rsidR="002B679D" w:rsidRPr="008C1132" w:rsidRDefault="002B679D">
      <w:pPr>
        <w:pStyle w:val="EndnoteText"/>
        <w:rPr>
          <w:lang w:val="en-US"/>
        </w:rPr>
      </w:pPr>
      <w:r>
        <w:rPr>
          <w:rStyle w:val="EndnoteReference"/>
        </w:rPr>
        <w:endnoteRef/>
      </w:r>
      <w:r>
        <w:t xml:space="preserve"> </w:t>
      </w:r>
      <w:r w:rsidRPr="008C1132">
        <w:rPr>
          <w:i/>
          <w:lang w:val="en-US"/>
        </w:rPr>
        <w:t>Ibid</w:t>
      </w:r>
    </w:p>
  </w:endnote>
  <w:endnote w:id="152">
    <w:p w14:paraId="035013B4" w14:textId="77777777" w:rsidR="002B679D" w:rsidRDefault="002B679D" w:rsidP="00E67BB6">
      <w:pPr>
        <w:pStyle w:val="EndnoteText"/>
      </w:pPr>
      <w:r>
        <w:rPr>
          <w:rStyle w:val="EndnoteReference"/>
        </w:rPr>
        <w:endnoteRef/>
      </w:r>
      <w:r>
        <w:t xml:space="preserve"> S Fitzpatrick et al, </w:t>
      </w:r>
      <w:hyperlink r:id="rId156" w:history="1">
        <w:r w:rsidRPr="009A1CE1">
          <w:rPr>
            <w:rStyle w:val="Hyperlink"/>
          </w:rPr>
          <w:t>Destitution in the UK</w:t>
        </w:r>
      </w:hyperlink>
      <w:r>
        <w:t xml:space="preserve"> (Joseph </w:t>
      </w:r>
      <w:proofErr w:type="spellStart"/>
      <w:r>
        <w:t>Rowntree</w:t>
      </w:r>
      <w:proofErr w:type="spellEnd"/>
      <w:r>
        <w:t xml:space="preserve"> Foundation, 2016) </w:t>
      </w:r>
    </w:p>
  </w:endnote>
  <w:endnote w:id="153">
    <w:p w14:paraId="321080E9" w14:textId="3861F7CA" w:rsidR="002B679D" w:rsidRDefault="002B679D" w:rsidP="00E67BB6">
      <w:pPr>
        <w:pStyle w:val="EndnoteText"/>
      </w:pPr>
      <w:r>
        <w:rPr>
          <w:rStyle w:val="EndnoteReference"/>
        </w:rPr>
        <w:endnoteRef/>
      </w:r>
      <w:r>
        <w:t xml:space="preserve"> </w:t>
      </w:r>
      <w:r>
        <w:rPr>
          <w:rFonts w:ascii="Calibri" w:hAnsi="Calibri"/>
        </w:rPr>
        <w:t>O</w:t>
      </w:r>
      <w:r w:rsidRPr="006D4AB3">
        <w:rPr>
          <w:rFonts w:ascii="Calibri" w:hAnsi="Calibri"/>
        </w:rPr>
        <w:t xml:space="preserve">ften income shortfall from benefit delay or sanction, or uncontrollable expenditure such </w:t>
      </w:r>
      <w:r>
        <w:rPr>
          <w:rFonts w:ascii="Calibri" w:hAnsi="Calibri"/>
        </w:rPr>
        <w:t xml:space="preserve">as </w:t>
      </w:r>
      <w:r w:rsidRPr="006D4AB3">
        <w:rPr>
          <w:rFonts w:ascii="Calibri" w:hAnsi="Calibri"/>
        </w:rPr>
        <w:t>bills</w:t>
      </w:r>
      <w:r>
        <w:rPr>
          <w:rFonts w:ascii="Calibri" w:hAnsi="Calibri"/>
        </w:rPr>
        <w:t xml:space="preserve"> or </w:t>
      </w:r>
      <w:r w:rsidRPr="006D4AB3">
        <w:rPr>
          <w:rFonts w:ascii="Calibri" w:hAnsi="Calibri"/>
        </w:rPr>
        <w:t>debts</w:t>
      </w:r>
      <w:r>
        <w:t xml:space="preserve">, see </w:t>
      </w:r>
      <w:r>
        <w:br/>
        <w:t xml:space="preserve">S Fitzpatrick et al, </w:t>
      </w:r>
      <w:hyperlink r:id="rId157" w:history="1">
        <w:r w:rsidRPr="009A1CE1">
          <w:rPr>
            <w:rStyle w:val="Hyperlink"/>
          </w:rPr>
          <w:t>Destitution in the UK</w:t>
        </w:r>
      </w:hyperlink>
      <w:r>
        <w:t xml:space="preserve"> (Joseph </w:t>
      </w:r>
      <w:proofErr w:type="spellStart"/>
      <w:r>
        <w:t>Rowntree</w:t>
      </w:r>
      <w:proofErr w:type="spellEnd"/>
      <w:r>
        <w:t xml:space="preserve"> Foundation, 2016)</w:t>
      </w:r>
    </w:p>
  </w:endnote>
  <w:endnote w:id="154">
    <w:p w14:paraId="11F2C473" w14:textId="05B990D8" w:rsidR="002B679D" w:rsidRPr="008C1132" w:rsidRDefault="002B679D">
      <w:pPr>
        <w:pStyle w:val="EndnoteText"/>
        <w:rPr>
          <w:lang w:val="en-US"/>
        </w:rPr>
      </w:pPr>
      <w:r>
        <w:rPr>
          <w:rStyle w:val="EndnoteReference"/>
        </w:rPr>
        <w:endnoteRef/>
      </w:r>
      <w:r>
        <w:t xml:space="preserve"> </w:t>
      </w:r>
      <w:r>
        <w:rPr>
          <w:lang w:val="en-US"/>
        </w:rPr>
        <w:t xml:space="preserve">Speech by First Minister, </w:t>
      </w:r>
      <w:hyperlink r:id="rId158" w:history="1">
        <w:r w:rsidRPr="00E74BF2">
          <w:rPr>
            <w:rStyle w:val="Hyperlink"/>
            <w:lang w:val="en-US"/>
          </w:rPr>
          <w:t>Nicola Sturgeon at the Scottish National Action Plan Innovation Forum</w:t>
        </w:r>
      </w:hyperlink>
      <w:r>
        <w:rPr>
          <w:lang w:val="en-US"/>
        </w:rPr>
        <w:t xml:space="preserve"> (Dynamic Earth, 9 December 2015)</w:t>
      </w:r>
    </w:p>
  </w:endnote>
  <w:endnote w:id="155">
    <w:p w14:paraId="387EA300" w14:textId="5161B2A9" w:rsidR="002B679D" w:rsidRPr="00EF7C34" w:rsidRDefault="002B679D">
      <w:pPr>
        <w:pStyle w:val="EndnoteText"/>
        <w:rPr>
          <w:lang w:val="en-US"/>
        </w:rPr>
      </w:pPr>
      <w:r>
        <w:rPr>
          <w:rStyle w:val="EndnoteReference"/>
        </w:rPr>
        <w:endnoteRef/>
      </w:r>
      <w:r>
        <w:t xml:space="preserve"> </w:t>
      </w:r>
      <w:r>
        <w:rPr>
          <w:lang w:val="en-US"/>
        </w:rPr>
        <w:t xml:space="preserve">Scottish Government, </w:t>
      </w:r>
      <w:hyperlink r:id="rId159" w:history="1">
        <w:r w:rsidRPr="00EF7C34">
          <w:rPr>
            <w:rStyle w:val="Hyperlink"/>
            <w:lang w:val="en-US"/>
          </w:rPr>
          <w:t>Scotland Performs: National Indicator Data</w:t>
        </w:r>
      </w:hyperlink>
      <w:r>
        <w:rPr>
          <w:lang w:val="en-US"/>
        </w:rPr>
        <w:t xml:space="preserve"> (Scottish Government, 2015)</w:t>
      </w:r>
    </w:p>
  </w:endnote>
  <w:endnote w:id="156">
    <w:p w14:paraId="3E2E3E0B" w14:textId="6B3BB8E3" w:rsidR="002B679D" w:rsidRDefault="002B679D">
      <w:pPr>
        <w:pStyle w:val="EndnoteText"/>
      </w:pPr>
      <w:r>
        <w:rPr>
          <w:rStyle w:val="EndnoteReference"/>
        </w:rPr>
        <w:endnoteRef/>
      </w:r>
      <w:r>
        <w:t xml:space="preserve"> ONS, </w:t>
      </w:r>
      <w:hyperlink r:id="rId160" w:history="1">
        <w:r w:rsidRPr="00D9352B">
          <w:rPr>
            <w:rStyle w:val="Hyperlink"/>
          </w:rPr>
          <w:t>Measuring National Well-being: Life in the UK</w:t>
        </w:r>
      </w:hyperlink>
      <w:r>
        <w:t xml:space="preserve"> (ONS, 2016); Resolution Foundation, </w:t>
      </w:r>
      <w:hyperlink r:id="rId161" w:history="1">
        <w:r w:rsidRPr="0084687A">
          <w:rPr>
            <w:rStyle w:val="Hyperlink"/>
          </w:rPr>
          <w:t>Living Standard 2016</w:t>
        </w:r>
      </w:hyperlink>
      <w:r>
        <w:t xml:space="preserve"> (Resolution Foundation, 2016)</w:t>
      </w:r>
    </w:p>
  </w:endnote>
  <w:endnote w:id="157">
    <w:p w14:paraId="59C46CD7" w14:textId="5DA8AD7A" w:rsidR="002B679D" w:rsidRPr="0084598A" w:rsidRDefault="002B679D">
      <w:pPr>
        <w:pStyle w:val="EndnoteText"/>
        <w:rPr>
          <w:lang w:val="en-US"/>
        </w:rPr>
      </w:pPr>
      <w:r>
        <w:rPr>
          <w:rStyle w:val="EndnoteReference"/>
        </w:rPr>
        <w:endnoteRef/>
      </w:r>
      <w:r>
        <w:t xml:space="preserve"> </w:t>
      </w:r>
      <w:r>
        <w:rPr>
          <w:lang w:val="en-US"/>
        </w:rPr>
        <w:t xml:space="preserve">Food and Agriculture Organization of the UN, </w:t>
      </w:r>
      <w:hyperlink r:id="rId162" w:history="1">
        <w:r w:rsidRPr="00584ACA">
          <w:rPr>
            <w:rStyle w:val="Hyperlink"/>
            <w:lang w:val="en-US"/>
          </w:rPr>
          <w:t>Voices of the Hungry: Methods for estimating comparable prevalence rates of food insecurity experienced by adults throughout the world</w:t>
        </w:r>
      </w:hyperlink>
      <w:r>
        <w:rPr>
          <w:lang w:val="en-US"/>
        </w:rPr>
        <w:t xml:space="preserve"> (FAO, 2016)</w:t>
      </w:r>
    </w:p>
  </w:endnote>
  <w:endnote w:id="158">
    <w:p w14:paraId="40A401E6" w14:textId="4A42FB93" w:rsidR="002B679D" w:rsidRPr="00063EB6" w:rsidRDefault="002B679D">
      <w:pPr>
        <w:pStyle w:val="EndnoteText"/>
        <w:rPr>
          <w:lang w:val="en-US"/>
        </w:rPr>
      </w:pPr>
      <w:r>
        <w:rPr>
          <w:rStyle w:val="EndnoteReference"/>
        </w:rPr>
        <w:endnoteRef/>
      </w:r>
      <w:r>
        <w:t xml:space="preserve"> </w:t>
      </w:r>
      <w:r>
        <w:rPr>
          <w:lang w:val="en-US"/>
        </w:rPr>
        <w:t xml:space="preserve">All Party Parliamentary Inquiry into Hunger, </w:t>
      </w:r>
      <w:hyperlink r:id="rId163" w:history="1">
        <w:r w:rsidRPr="00063EB6">
          <w:rPr>
            <w:rStyle w:val="Hyperlink"/>
            <w:lang w:val="en-US"/>
          </w:rPr>
          <w:t>Feeding Britain</w:t>
        </w:r>
      </w:hyperlink>
      <w:r>
        <w:rPr>
          <w:lang w:val="en-US"/>
        </w:rPr>
        <w:t xml:space="preserve"> (APPG into Hunger and Food Poverty, 2014)</w:t>
      </w:r>
    </w:p>
  </w:endnote>
  <w:endnote w:id="159">
    <w:p w14:paraId="5846C4BD" w14:textId="71ADEF23" w:rsidR="002B679D" w:rsidRPr="002A6D1A" w:rsidRDefault="002B679D">
      <w:pPr>
        <w:pStyle w:val="EndnoteText"/>
        <w:rPr>
          <w:lang w:val="en-US"/>
        </w:rPr>
      </w:pPr>
      <w:r>
        <w:rPr>
          <w:rStyle w:val="EndnoteReference"/>
        </w:rPr>
        <w:endnoteRef/>
      </w:r>
      <w:r>
        <w:t xml:space="preserve"> </w:t>
      </w:r>
      <w:r>
        <w:rPr>
          <w:lang w:val="en-US"/>
        </w:rPr>
        <w:t xml:space="preserve">Scottish Government, </w:t>
      </w:r>
      <w:hyperlink r:id="rId164" w:history="1">
        <w:r w:rsidRPr="002A6D1A">
          <w:rPr>
            <w:rStyle w:val="Hyperlink"/>
            <w:lang w:val="en-US"/>
          </w:rPr>
          <w:t>Response to CESCR List of Issues</w:t>
        </w:r>
      </w:hyperlink>
      <w:r>
        <w:rPr>
          <w:lang w:val="en-US"/>
        </w:rPr>
        <w:t xml:space="preserve"> (SG, 2016)</w:t>
      </w:r>
    </w:p>
  </w:endnote>
  <w:endnote w:id="160">
    <w:p w14:paraId="0F0EFCD9" w14:textId="77777777" w:rsidR="002B679D" w:rsidRDefault="002B679D">
      <w:pPr>
        <w:pStyle w:val="EndnoteText"/>
      </w:pPr>
      <w:r>
        <w:rPr>
          <w:rStyle w:val="EndnoteReference"/>
        </w:rPr>
        <w:endnoteRef/>
      </w:r>
      <w:r>
        <w:t xml:space="preserve"> Close the Gap, </w:t>
      </w:r>
      <w:hyperlink r:id="rId165" w:history="1">
        <w:r w:rsidRPr="0093308E">
          <w:rPr>
            <w:rStyle w:val="Hyperlink"/>
          </w:rPr>
          <w:t>Gender Pay Statistics</w:t>
        </w:r>
      </w:hyperlink>
      <w:r>
        <w:t xml:space="preserve"> (Close the Gap, 2016)</w:t>
      </w:r>
    </w:p>
  </w:endnote>
  <w:endnote w:id="161">
    <w:p w14:paraId="4D06C3EF" w14:textId="77777777" w:rsidR="002B679D" w:rsidRDefault="002B679D">
      <w:pPr>
        <w:pStyle w:val="EndnoteText"/>
      </w:pPr>
      <w:r>
        <w:rPr>
          <w:rStyle w:val="EndnoteReference"/>
        </w:rPr>
        <w:endnoteRef/>
      </w:r>
      <w:r>
        <w:t xml:space="preserve"> Office for National Statistics, </w:t>
      </w:r>
      <w:hyperlink r:id="rId166" w:history="1">
        <w:r w:rsidRPr="00B02388">
          <w:rPr>
            <w:rStyle w:val="Hyperlink"/>
          </w:rPr>
          <w:t xml:space="preserve">Estimates of employee jobs paid less than the living wage </w:t>
        </w:r>
      </w:hyperlink>
      <w:r>
        <w:t>(ONS, 2015)</w:t>
      </w:r>
    </w:p>
  </w:endnote>
  <w:endnote w:id="162">
    <w:p w14:paraId="17977D05" w14:textId="77777777" w:rsidR="002B679D" w:rsidRDefault="002B679D">
      <w:pPr>
        <w:pStyle w:val="EndnoteText"/>
      </w:pPr>
      <w:r w:rsidRPr="00D048D7">
        <w:rPr>
          <w:rStyle w:val="EndnoteReference"/>
        </w:rPr>
        <w:endnoteRef/>
      </w:r>
      <w:r w:rsidRPr="00D048D7">
        <w:t xml:space="preserve"> Engender, </w:t>
      </w:r>
      <w:hyperlink r:id="rId167" w:history="1">
        <w:r w:rsidRPr="00D048D7">
          <w:rPr>
            <w:rStyle w:val="Hyperlink"/>
          </w:rPr>
          <w:t>Shadow report to CESCR Pre-Sessional Working Group – 6</w:t>
        </w:r>
        <w:r w:rsidRPr="00D048D7">
          <w:rPr>
            <w:rStyle w:val="Hyperlink"/>
            <w:vertAlign w:val="superscript"/>
          </w:rPr>
          <w:t>th</w:t>
        </w:r>
        <w:r w:rsidRPr="00D048D7">
          <w:rPr>
            <w:rStyle w:val="Hyperlink"/>
          </w:rPr>
          <w:t xml:space="preserve"> periodic review of UK</w:t>
        </w:r>
      </w:hyperlink>
      <w:r w:rsidRPr="00D048D7">
        <w:t xml:space="preserve"> (Engender, 2015)</w:t>
      </w:r>
      <w:r>
        <w:t xml:space="preserve">; The Fawcett Society, </w:t>
      </w:r>
      <w:hyperlink r:id="rId168" w:history="1">
        <w:r w:rsidRPr="00956FE0">
          <w:rPr>
            <w:rStyle w:val="Hyperlink"/>
          </w:rPr>
          <w:t xml:space="preserve">Where’s the benefit? An independent inquiry in to </w:t>
        </w:r>
        <w:r>
          <w:rPr>
            <w:rStyle w:val="Hyperlink"/>
          </w:rPr>
          <w:t>w</w:t>
        </w:r>
        <w:r w:rsidRPr="00956FE0">
          <w:rPr>
            <w:rStyle w:val="Hyperlink"/>
          </w:rPr>
          <w:t>omen and JSA</w:t>
        </w:r>
      </w:hyperlink>
      <w:r>
        <w:t xml:space="preserve"> (Fawcett, 2015); Welfare Reform Committee, </w:t>
      </w:r>
      <w:hyperlink r:id="rId169" w:history="1">
        <w:r w:rsidRPr="004E6B50">
          <w:rPr>
            <w:rStyle w:val="Hyperlink"/>
          </w:rPr>
          <w:t>Women and Social Security</w:t>
        </w:r>
      </w:hyperlink>
      <w:r>
        <w:t xml:space="preserve"> (Scottish Parliament, 2015) SP 773</w:t>
      </w:r>
    </w:p>
  </w:endnote>
  <w:endnote w:id="163">
    <w:p w14:paraId="29A3F073" w14:textId="77777777" w:rsidR="002B679D" w:rsidRDefault="002B679D">
      <w:pPr>
        <w:pStyle w:val="EndnoteText"/>
      </w:pPr>
      <w:r>
        <w:rPr>
          <w:rStyle w:val="EndnoteReference"/>
        </w:rPr>
        <w:endnoteRef/>
      </w:r>
      <w:r>
        <w:t xml:space="preserve"> Equality and Human Rights Commission, </w:t>
      </w:r>
      <w:hyperlink r:id="rId170" w:history="1">
        <w:r w:rsidRPr="005537D1">
          <w:rPr>
            <w:rStyle w:val="Hyperlink"/>
          </w:rPr>
          <w:t xml:space="preserve">Cumulative Impact Assessment: Research report by </w:t>
        </w:r>
        <w:proofErr w:type="spellStart"/>
        <w:r w:rsidRPr="005537D1">
          <w:rPr>
            <w:rStyle w:val="Hyperlink"/>
          </w:rPr>
          <w:t>Landman</w:t>
        </w:r>
        <w:proofErr w:type="spellEnd"/>
        <w:r w:rsidRPr="005537D1">
          <w:rPr>
            <w:rStyle w:val="Hyperlink"/>
          </w:rPr>
          <w:t xml:space="preserve"> Economics and the National Institute of Economic and Social Research</w:t>
        </w:r>
      </w:hyperlink>
      <w:r>
        <w:t xml:space="preserve"> (EHRC, 2014)</w:t>
      </w:r>
    </w:p>
  </w:endnote>
  <w:endnote w:id="164">
    <w:p w14:paraId="114C3822" w14:textId="77777777" w:rsidR="002B679D" w:rsidRDefault="002B679D">
      <w:pPr>
        <w:pStyle w:val="EndnoteText"/>
      </w:pPr>
      <w:r>
        <w:rPr>
          <w:rStyle w:val="EndnoteReference"/>
        </w:rPr>
        <w:endnoteRef/>
      </w:r>
      <w:r>
        <w:t xml:space="preserve"> </w:t>
      </w:r>
      <w:proofErr w:type="gramStart"/>
      <w:r>
        <w:t xml:space="preserve">ONS, </w:t>
      </w:r>
      <w:hyperlink r:id="rId171" w:history="1">
        <w:r w:rsidRPr="00E72047">
          <w:rPr>
            <w:rStyle w:val="Hyperlink"/>
          </w:rPr>
          <w:t>Households Bel</w:t>
        </w:r>
        <w:r>
          <w:rPr>
            <w:rStyle w:val="Hyperlink"/>
          </w:rPr>
          <w:t>ow Average Income 201</w:t>
        </w:r>
        <w:r w:rsidRPr="00E72047">
          <w:rPr>
            <w:rStyle w:val="Hyperlink"/>
          </w:rPr>
          <w:t>3/14</w:t>
        </w:r>
      </w:hyperlink>
      <w:r>
        <w:t xml:space="preserve"> (ONS, 2015); Equal Opportunities Commission, </w:t>
      </w:r>
      <w:hyperlink r:id="rId172" w:history="1">
        <w:r w:rsidRPr="00E13ABD">
          <w:rPr>
            <w:rStyle w:val="Hyperlink"/>
          </w:rPr>
          <w:t>Moving on Up?</w:t>
        </w:r>
        <w:proofErr w:type="gramEnd"/>
        <w:r w:rsidRPr="00E13ABD">
          <w:rPr>
            <w:rStyle w:val="Hyperlink"/>
          </w:rPr>
          <w:t xml:space="preserve"> Report of the EOC’s investigation into Bangladeshi, Pakistani and Black Caribbean women and work</w:t>
        </w:r>
      </w:hyperlink>
      <w:r>
        <w:t xml:space="preserve"> (EOC, 2007)</w:t>
      </w:r>
    </w:p>
  </w:endnote>
  <w:endnote w:id="165">
    <w:p w14:paraId="3412275A" w14:textId="77777777" w:rsidR="002B679D" w:rsidRDefault="002B679D">
      <w:pPr>
        <w:pStyle w:val="EndnoteText"/>
      </w:pPr>
      <w:r>
        <w:rPr>
          <w:rStyle w:val="EndnoteReference"/>
        </w:rPr>
        <w:endnoteRef/>
      </w:r>
      <w:r>
        <w:t xml:space="preserve"> After Housing Costs, see ONS, </w:t>
      </w:r>
      <w:hyperlink r:id="rId173" w:history="1">
        <w:r>
          <w:rPr>
            <w:rStyle w:val="Hyperlink"/>
          </w:rPr>
          <w:t>Households Below Average Income</w:t>
        </w:r>
        <w:r w:rsidRPr="00E72047">
          <w:rPr>
            <w:rStyle w:val="Hyperlink"/>
          </w:rPr>
          <w:t xml:space="preserve"> 2013/14</w:t>
        </w:r>
      </w:hyperlink>
      <w:r>
        <w:t xml:space="preserve"> (ONS, 2015)</w:t>
      </w:r>
    </w:p>
  </w:endnote>
  <w:endnote w:id="166">
    <w:p w14:paraId="377C679C" w14:textId="77777777" w:rsidR="002B679D" w:rsidRDefault="002B679D" w:rsidP="001915FC">
      <w:pPr>
        <w:pStyle w:val="EndnoteText"/>
      </w:pPr>
      <w:r>
        <w:rPr>
          <w:rStyle w:val="EndnoteReference"/>
        </w:rPr>
        <w:endnoteRef/>
      </w:r>
      <w:r>
        <w:t xml:space="preserve"> DWP, </w:t>
      </w:r>
      <w:hyperlink r:id="rId174" w:history="1">
        <w:r w:rsidRPr="0074573B">
          <w:rPr>
            <w:rStyle w:val="Hyperlink"/>
          </w:rPr>
          <w:t>Benefit Cap statistics: November 2015</w:t>
        </w:r>
      </w:hyperlink>
      <w:r>
        <w:t xml:space="preserve"> (DWP, 2016)</w:t>
      </w:r>
    </w:p>
  </w:endnote>
  <w:endnote w:id="167">
    <w:p w14:paraId="3A9FA330" w14:textId="77777777" w:rsidR="002B679D" w:rsidRDefault="002B679D">
      <w:pPr>
        <w:pStyle w:val="EndnoteText"/>
      </w:pPr>
      <w:r>
        <w:rPr>
          <w:rStyle w:val="EndnoteReference"/>
        </w:rPr>
        <w:endnoteRef/>
      </w:r>
      <w:r>
        <w:t xml:space="preserve"> Welfare Reform Committee, </w:t>
      </w:r>
      <w:hyperlink r:id="rId175" w:history="1">
        <w:r w:rsidRPr="007971A5">
          <w:rPr>
            <w:rStyle w:val="Hyperlink"/>
          </w:rPr>
          <w:t>The cumulative impact of welfare reform on households in Scotland</w:t>
        </w:r>
      </w:hyperlink>
      <w:r>
        <w:t xml:space="preserve"> (Scottish Parliament, 2015) SP Paper 657</w:t>
      </w:r>
    </w:p>
  </w:endnote>
  <w:endnote w:id="168">
    <w:p w14:paraId="188A40F7" w14:textId="1B11BFEB" w:rsidR="002B679D" w:rsidRPr="008B7237" w:rsidRDefault="002B679D">
      <w:pPr>
        <w:pStyle w:val="EndnoteText"/>
        <w:rPr>
          <w:lang w:val="en-US"/>
        </w:rPr>
      </w:pPr>
      <w:r>
        <w:rPr>
          <w:rStyle w:val="EndnoteReference"/>
        </w:rPr>
        <w:endnoteRef/>
      </w:r>
      <w:r>
        <w:t xml:space="preserve"> </w:t>
      </w:r>
      <w:r>
        <w:rPr>
          <w:lang w:val="en-US"/>
        </w:rPr>
        <w:t xml:space="preserve">M </w:t>
      </w:r>
      <w:proofErr w:type="spellStart"/>
      <w:r>
        <w:rPr>
          <w:lang w:val="en-US"/>
        </w:rPr>
        <w:t>Padley</w:t>
      </w:r>
      <w:proofErr w:type="spellEnd"/>
      <w:r>
        <w:rPr>
          <w:lang w:val="en-US"/>
        </w:rPr>
        <w:t xml:space="preserve"> et al, </w:t>
      </w:r>
      <w:hyperlink r:id="rId176" w:history="1">
        <w:r w:rsidRPr="008B7237">
          <w:rPr>
            <w:rStyle w:val="Hyperlink"/>
            <w:lang w:val="en-US"/>
          </w:rPr>
          <w:t>Households Below a Minimum Income Standard</w:t>
        </w:r>
      </w:hyperlink>
      <w:r>
        <w:rPr>
          <w:lang w:val="en-US"/>
        </w:rPr>
        <w:t xml:space="preserve"> (JRF, 2015)</w:t>
      </w:r>
    </w:p>
  </w:endnote>
  <w:endnote w:id="169">
    <w:p w14:paraId="19444846" w14:textId="77777777" w:rsidR="002B679D" w:rsidRDefault="002B679D" w:rsidP="00E46582">
      <w:pPr>
        <w:pStyle w:val="EndnoteText"/>
      </w:pPr>
      <w:r>
        <w:rPr>
          <w:rStyle w:val="EndnoteReference"/>
        </w:rPr>
        <w:endnoteRef/>
      </w:r>
      <w:r>
        <w:t xml:space="preserve"> C Belfield et al, </w:t>
      </w:r>
      <w:hyperlink r:id="rId177" w:history="1">
        <w:r w:rsidRPr="00CC592B">
          <w:rPr>
            <w:rStyle w:val="Hyperlink"/>
          </w:rPr>
          <w:t>Press Release: Nearly two-thirds of children in poverty live in working families</w:t>
        </w:r>
      </w:hyperlink>
      <w:r>
        <w:t xml:space="preserve"> (IFS, 2015) </w:t>
      </w:r>
    </w:p>
  </w:endnote>
  <w:endnote w:id="170">
    <w:p w14:paraId="6B95651E" w14:textId="77777777" w:rsidR="002B679D" w:rsidRDefault="002B679D">
      <w:pPr>
        <w:pStyle w:val="EndnoteText"/>
      </w:pPr>
      <w:r>
        <w:rPr>
          <w:rStyle w:val="EndnoteReference"/>
        </w:rPr>
        <w:endnoteRef/>
      </w:r>
      <w:r>
        <w:t xml:space="preserve"> Social Mobility and Child Poverty Commission, </w:t>
      </w:r>
      <w:hyperlink r:id="rId178" w:history="1">
        <w:r w:rsidRPr="009A305C">
          <w:rPr>
            <w:rStyle w:val="Hyperlink"/>
          </w:rPr>
          <w:t>State of the Nation</w:t>
        </w:r>
      </w:hyperlink>
      <w:r>
        <w:t xml:space="preserve"> (Cabinet Office, 2014)</w:t>
      </w:r>
    </w:p>
  </w:endnote>
  <w:endnote w:id="171">
    <w:p w14:paraId="5D5518DF" w14:textId="77777777" w:rsidR="002B679D" w:rsidRDefault="002B679D">
      <w:pPr>
        <w:pStyle w:val="EndnoteText"/>
      </w:pPr>
      <w:r>
        <w:rPr>
          <w:rStyle w:val="EndnoteReference"/>
        </w:rPr>
        <w:endnoteRef/>
      </w:r>
      <w:r>
        <w:t xml:space="preserve"> M </w:t>
      </w:r>
      <w:proofErr w:type="spellStart"/>
      <w:r>
        <w:t>Fram</w:t>
      </w:r>
      <w:proofErr w:type="spellEnd"/>
      <w:r>
        <w:t xml:space="preserve">, J Bernal and E </w:t>
      </w:r>
      <w:proofErr w:type="spellStart"/>
      <w:r>
        <w:t>Frongillo</w:t>
      </w:r>
      <w:proofErr w:type="spellEnd"/>
      <w:r>
        <w:t xml:space="preserve">, </w:t>
      </w:r>
      <w:hyperlink r:id="rId179" w:history="1">
        <w:r w:rsidRPr="00B9098F">
          <w:rPr>
            <w:rStyle w:val="Hyperlink"/>
          </w:rPr>
          <w:t>The measurement of food insecurity among children: Review of literature and concept note</w:t>
        </w:r>
      </w:hyperlink>
      <w:r>
        <w:t xml:space="preserve"> (UNICEF, 2015)</w:t>
      </w:r>
    </w:p>
  </w:endnote>
  <w:endnote w:id="172">
    <w:p w14:paraId="24A80F49" w14:textId="77777777" w:rsidR="002B679D" w:rsidRDefault="002B679D">
      <w:pPr>
        <w:pStyle w:val="EndnoteText"/>
      </w:pPr>
      <w:r>
        <w:rPr>
          <w:rStyle w:val="EndnoteReference"/>
        </w:rPr>
        <w:endnoteRef/>
      </w:r>
      <w:r>
        <w:t xml:space="preserve"> Kellogg’s, </w:t>
      </w:r>
      <w:hyperlink r:id="rId180" w:history="1">
        <w:r w:rsidRPr="00112925">
          <w:rPr>
            <w:rStyle w:val="Hyperlink"/>
          </w:rPr>
          <w:t>Isolation and Hunger: The reality of the school holidays for struggling families</w:t>
        </w:r>
      </w:hyperlink>
      <w:r>
        <w:t xml:space="preserve"> (Kellogg’s, 2014)</w:t>
      </w:r>
    </w:p>
  </w:endnote>
  <w:endnote w:id="173">
    <w:p w14:paraId="5E5F290D" w14:textId="4228DCA7" w:rsidR="002B679D" w:rsidRDefault="002B679D" w:rsidP="005C0F44">
      <w:pPr>
        <w:pStyle w:val="EndnoteText"/>
      </w:pPr>
      <w:r>
        <w:rPr>
          <w:rStyle w:val="EndnoteReference"/>
        </w:rPr>
        <w:endnoteRef/>
      </w:r>
      <w:r>
        <w:t xml:space="preserve"> E Brawn, </w:t>
      </w:r>
      <w:hyperlink r:id="rId181" w:history="1">
        <w:r>
          <w:rPr>
            <w:rStyle w:val="Hyperlink"/>
          </w:rPr>
          <w:t>Priced out: E</w:t>
        </w:r>
        <w:r w:rsidRPr="00343D02">
          <w:rPr>
            <w:rStyle w:val="Hyperlink"/>
          </w:rPr>
          <w:t>nding the financial penalty of disability by 2020</w:t>
        </w:r>
      </w:hyperlink>
      <w:r>
        <w:t xml:space="preserve"> (Scope, 2014); </w:t>
      </w:r>
    </w:p>
  </w:endnote>
  <w:endnote w:id="174">
    <w:p w14:paraId="03B6C725" w14:textId="77777777" w:rsidR="002B679D" w:rsidRDefault="002B679D" w:rsidP="005C0F44">
      <w:pPr>
        <w:pStyle w:val="EndnoteText"/>
      </w:pPr>
      <w:r>
        <w:rPr>
          <w:rStyle w:val="EndnoteReference"/>
        </w:rPr>
        <w:endnoteRef/>
      </w:r>
      <w:r>
        <w:t xml:space="preserve"> </w:t>
      </w:r>
      <w:r w:rsidRPr="00E915D9">
        <w:rPr>
          <w:i/>
        </w:rPr>
        <w:t>Ibid</w:t>
      </w:r>
    </w:p>
  </w:endnote>
  <w:endnote w:id="175">
    <w:p w14:paraId="16028DBE" w14:textId="77777777" w:rsidR="002B679D" w:rsidRDefault="002B679D" w:rsidP="005C0F44">
      <w:pPr>
        <w:pStyle w:val="EndnoteText"/>
      </w:pPr>
      <w:r>
        <w:rPr>
          <w:rStyle w:val="EndnoteReference"/>
        </w:rPr>
        <w:endnoteRef/>
      </w:r>
      <w:r>
        <w:t xml:space="preserve"> ONS, </w:t>
      </w:r>
      <w:hyperlink r:id="rId182" w:history="1">
        <w:r>
          <w:rPr>
            <w:rStyle w:val="Hyperlink"/>
          </w:rPr>
          <w:t>Households Below Average Income</w:t>
        </w:r>
        <w:r w:rsidRPr="00E72047">
          <w:rPr>
            <w:rStyle w:val="Hyperlink"/>
          </w:rPr>
          <w:t xml:space="preserve"> 2013/14</w:t>
        </w:r>
      </w:hyperlink>
      <w:r>
        <w:t xml:space="preserve"> (ONS, 2015);</w:t>
      </w:r>
    </w:p>
  </w:endnote>
  <w:endnote w:id="176">
    <w:p w14:paraId="7B046772" w14:textId="77777777" w:rsidR="002B679D" w:rsidRDefault="002B679D" w:rsidP="00995967">
      <w:pPr>
        <w:pStyle w:val="EndnoteText"/>
      </w:pPr>
      <w:r>
        <w:rPr>
          <w:rStyle w:val="EndnoteReference"/>
        </w:rPr>
        <w:endnoteRef/>
      </w:r>
      <w:r>
        <w:t xml:space="preserve"> ONS, </w:t>
      </w:r>
      <w:hyperlink r:id="rId183" w:history="1">
        <w:r w:rsidRPr="00E72047">
          <w:rPr>
            <w:rStyle w:val="Hyperlink"/>
          </w:rPr>
          <w:t>Households Bel</w:t>
        </w:r>
        <w:r>
          <w:rPr>
            <w:rStyle w:val="Hyperlink"/>
          </w:rPr>
          <w:t>ow Average Income 201</w:t>
        </w:r>
        <w:r w:rsidRPr="00E72047">
          <w:rPr>
            <w:rStyle w:val="Hyperlink"/>
          </w:rPr>
          <w:t>3/14</w:t>
        </w:r>
      </w:hyperlink>
      <w:r>
        <w:t xml:space="preserve"> (ONS, 2015)</w:t>
      </w:r>
    </w:p>
  </w:endnote>
  <w:endnote w:id="177">
    <w:p w14:paraId="73016DCE" w14:textId="77777777" w:rsidR="002B679D" w:rsidRDefault="002B679D" w:rsidP="00B04230">
      <w:pPr>
        <w:pStyle w:val="EndnoteText"/>
      </w:pPr>
      <w:r>
        <w:rPr>
          <w:rStyle w:val="EndnoteReference"/>
        </w:rPr>
        <w:endnoteRef/>
      </w:r>
      <w:r>
        <w:t xml:space="preserve"> Disability Benefits Consortium, </w:t>
      </w:r>
      <w:hyperlink r:id="rId184" w:history="1">
        <w:r w:rsidRPr="0092159C">
          <w:rPr>
            <w:rStyle w:val="Hyperlink"/>
          </w:rPr>
          <w:t>£145m mobility cut for disabled people may cost £464m</w:t>
        </w:r>
      </w:hyperlink>
      <w:r>
        <w:t xml:space="preserve"> (DBC, 2013)</w:t>
      </w:r>
    </w:p>
  </w:endnote>
  <w:endnote w:id="178">
    <w:p w14:paraId="2952FE2C" w14:textId="1AF1FEFC" w:rsidR="002B679D" w:rsidRDefault="002B679D" w:rsidP="00E901FF">
      <w:pPr>
        <w:pStyle w:val="EndnoteText"/>
      </w:pPr>
      <w:r>
        <w:rPr>
          <w:rStyle w:val="EndnoteReference"/>
        </w:rPr>
        <w:endnoteRef/>
      </w:r>
      <w:r>
        <w:t xml:space="preserve"> National Audit Office, </w:t>
      </w:r>
      <w:hyperlink r:id="rId185" w:history="1">
        <w:r w:rsidRPr="007968C0">
          <w:rPr>
            <w:rStyle w:val="Hyperlink"/>
          </w:rPr>
          <w:t>Contracted out health and disability assessments</w:t>
        </w:r>
      </w:hyperlink>
      <w:r>
        <w:t xml:space="preserve"> (NAO, 2016) HC 609</w:t>
      </w:r>
    </w:p>
  </w:endnote>
  <w:endnote w:id="179">
    <w:p w14:paraId="03D8DC97" w14:textId="77777777" w:rsidR="002B679D" w:rsidRDefault="002B679D" w:rsidP="00B036A5">
      <w:pPr>
        <w:pStyle w:val="EndnoteText"/>
      </w:pPr>
      <w:r>
        <w:rPr>
          <w:rStyle w:val="EndnoteReference"/>
        </w:rPr>
        <w:endnoteRef/>
      </w:r>
      <w:r>
        <w:t xml:space="preserve"> Eurostat, </w:t>
      </w:r>
      <w:hyperlink r:id="rId186" w:history="1">
        <w:r w:rsidRPr="00C00567">
          <w:rPr>
            <w:rStyle w:val="Hyperlink"/>
          </w:rPr>
          <w:t>First instance decisions on applications, 2014-15</w:t>
        </w:r>
      </w:hyperlink>
      <w:r>
        <w:t xml:space="preserve"> (Eurostat, 2016); House of Commons Library, </w:t>
      </w:r>
      <w:hyperlink r:id="rId187" w:history="1">
        <w:r w:rsidRPr="00987D9E">
          <w:rPr>
            <w:rStyle w:val="Hyperlink"/>
          </w:rPr>
          <w:t>Parliamentary Briefing: Syrian Refugees and the UK</w:t>
        </w:r>
      </w:hyperlink>
      <w:r>
        <w:t xml:space="preserve"> (HC, 2016) </w:t>
      </w:r>
    </w:p>
  </w:endnote>
  <w:endnote w:id="180">
    <w:p w14:paraId="18DE7F89" w14:textId="1BBC2C05" w:rsidR="002B679D" w:rsidRDefault="002B679D">
      <w:pPr>
        <w:pStyle w:val="EndnoteText"/>
      </w:pPr>
      <w:r>
        <w:rPr>
          <w:rStyle w:val="EndnoteReference"/>
        </w:rPr>
        <w:endnoteRef/>
      </w:r>
      <w:r>
        <w:t xml:space="preserve"> Children’s Society, </w:t>
      </w:r>
      <w:hyperlink r:id="rId188" w:history="1">
        <w:r>
          <w:rPr>
            <w:rStyle w:val="Hyperlink"/>
          </w:rPr>
          <w:t xml:space="preserve">Highlighting </w:t>
        </w:r>
        <w:r w:rsidRPr="00921947">
          <w:rPr>
            <w:rStyle w:val="Hyperlink"/>
          </w:rPr>
          <w:t>gap between asylum support and mainstream benefits</w:t>
        </w:r>
      </w:hyperlink>
      <w:r>
        <w:t xml:space="preserve"> (Children’s Society, 2012); F Douglas et al, </w:t>
      </w:r>
      <w:hyperlink r:id="rId189" w:history="1">
        <w:r w:rsidRPr="005F01A1">
          <w:rPr>
            <w:rStyle w:val="Hyperlink"/>
          </w:rPr>
          <w:t>The nature and extent of food poverty</w:t>
        </w:r>
      </w:hyperlink>
      <w:r>
        <w:t xml:space="preserve"> (NHS Health Scotland, 2015)</w:t>
      </w:r>
    </w:p>
  </w:endnote>
  <w:endnote w:id="181">
    <w:p w14:paraId="701A6BA9" w14:textId="77777777" w:rsidR="002B679D" w:rsidRDefault="002B679D">
      <w:pPr>
        <w:pStyle w:val="EndnoteText"/>
      </w:pPr>
      <w:r>
        <w:rPr>
          <w:rStyle w:val="EndnoteReference"/>
        </w:rPr>
        <w:endnoteRef/>
      </w:r>
      <w:r>
        <w:t xml:space="preserve"> C </w:t>
      </w:r>
      <w:proofErr w:type="spellStart"/>
      <w:r>
        <w:t>Dustmann</w:t>
      </w:r>
      <w:proofErr w:type="spellEnd"/>
      <w:r>
        <w:t xml:space="preserve">, </w:t>
      </w:r>
      <w:hyperlink r:id="rId190" w:history="1">
        <w:r w:rsidRPr="00BD1C5D">
          <w:rPr>
            <w:rStyle w:val="Hyperlink"/>
          </w:rPr>
          <w:t>The fiscal effects of immigration to the UK</w:t>
        </w:r>
      </w:hyperlink>
      <w:r>
        <w:t xml:space="preserve"> (2014) 124 (580) The Economic Journal 593 </w:t>
      </w:r>
    </w:p>
  </w:endnote>
  <w:endnote w:id="182">
    <w:p w14:paraId="40A121F7" w14:textId="77777777" w:rsidR="002B679D" w:rsidRDefault="002B679D">
      <w:pPr>
        <w:pStyle w:val="EndnoteText"/>
      </w:pPr>
      <w:r>
        <w:rPr>
          <w:rStyle w:val="EndnoteReference"/>
        </w:rPr>
        <w:endnoteRef/>
      </w:r>
      <w:r>
        <w:t xml:space="preserve"> S Fitzpatrick et al, </w:t>
      </w:r>
      <w:hyperlink r:id="rId191" w:history="1">
        <w:r w:rsidRPr="009A1CE1">
          <w:rPr>
            <w:rStyle w:val="Hyperlink"/>
          </w:rPr>
          <w:t>Destitution in the UK</w:t>
        </w:r>
      </w:hyperlink>
      <w:r>
        <w:t xml:space="preserve"> (Joseph </w:t>
      </w:r>
      <w:proofErr w:type="spellStart"/>
      <w:r>
        <w:t>Rowntree</w:t>
      </w:r>
      <w:proofErr w:type="spellEnd"/>
      <w:r>
        <w:t xml:space="preserve"> Foundation,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55884"/>
      <w:docPartObj>
        <w:docPartGallery w:val="Page Numbers (Bottom of Page)"/>
        <w:docPartUnique/>
      </w:docPartObj>
    </w:sdtPr>
    <w:sdtEndPr>
      <w:rPr>
        <w:noProof/>
      </w:rPr>
    </w:sdtEndPr>
    <w:sdtContent>
      <w:p w14:paraId="7A751141" w14:textId="3C5F6F2E" w:rsidR="002B679D" w:rsidRDefault="002B679D">
        <w:pPr>
          <w:pStyle w:val="Footer"/>
          <w:jc w:val="center"/>
        </w:pPr>
        <w:r>
          <w:fldChar w:fldCharType="begin"/>
        </w:r>
        <w:r>
          <w:instrText xml:space="preserve"> PAGE   \* MERGEFORMAT </w:instrText>
        </w:r>
        <w:r>
          <w:fldChar w:fldCharType="separate"/>
        </w:r>
        <w:r w:rsidR="00671505">
          <w:rPr>
            <w:noProof/>
          </w:rPr>
          <w:t>25</w:t>
        </w:r>
        <w:r>
          <w:rPr>
            <w:noProof/>
          </w:rPr>
          <w:fldChar w:fldCharType="end"/>
        </w:r>
      </w:p>
    </w:sdtContent>
  </w:sdt>
  <w:p w14:paraId="7823EFE8" w14:textId="77777777" w:rsidR="002B679D" w:rsidRDefault="002B67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A87EB" w14:textId="77777777" w:rsidR="002B679D" w:rsidRDefault="002B679D" w:rsidP="002A142F">
      <w:pPr>
        <w:spacing w:after="0" w:line="240" w:lineRule="auto"/>
      </w:pPr>
      <w:r>
        <w:separator/>
      </w:r>
    </w:p>
  </w:footnote>
  <w:footnote w:type="continuationSeparator" w:id="0">
    <w:p w14:paraId="66AD09E8" w14:textId="77777777" w:rsidR="002B679D" w:rsidRDefault="002B679D" w:rsidP="002A14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A8FF" w14:textId="6EF916F1" w:rsidR="002B679D" w:rsidRDefault="002B679D">
    <w:pPr>
      <w:pStyle w:val="Header"/>
      <w:rPr>
        <w:noProof/>
        <w:lang w:eastAsia="en-GB"/>
      </w:rPr>
    </w:pPr>
    <w:r>
      <w:rPr>
        <w:noProof/>
        <w:lang w:val="en-US"/>
      </w:rPr>
      <w:drawing>
        <wp:anchor distT="0" distB="0" distL="114300" distR="114300" simplePos="0" relativeHeight="251656704" behindDoc="1" locked="0" layoutInCell="1" allowOverlap="1" wp14:anchorId="6732C1B3" wp14:editId="213DEB70">
          <wp:simplePos x="0" y="0"/>
          <wp:positionH relativeFrom="column">
            <wp:posOffset>5283835</wp:posOffset>
          </wp:positionH>
          <wp:positionV relativeFrom="paragraph">
            <wp:posOffset>-373380</wp:posOffset>
          </wp:positionV>
          <wp:extent cx="1310005" cy="733425"/>
          <wp:effectExtent l="0" t="0" r="10795" b="3175"/>
          <wp:wrapTight wrapText="bothSides">
            <wp:wrapPolygon edited="0">
              <wp:start x="0" y="0"/>
              <wp:lineTo x="0" y="20945"/>
              <wp:lineTo x="21359" y="20945"/>
              <wp:lineTo x="2135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rishlogofinal_low resolution.jpg"/>
                  <pic:cNvPicPr/>
                </pic:nvPicPr>
                <pic:blipFill rotWithShape="1">
                  <a:blip r:embed="rId1" cstate="print">
                    <a:extLst>
                      <a:ext uri="{28A0092B-C50C-407E-A947-70E740481C1C}">
                        <a14:useLocalDpi xmlns:a14="http://schemas.microsoft.com/office/drawing/2010/main" val="0"/>
                      </a:ext>
                    </a:extLst>
                  </a:blip>
                  <a:srcRect b="22434"/>
                  <a:stretch/>
                </pic:blipFill>
                <pic:spPr bwMode="auto">
                  <a:xfrm>
                    <a:off x="0" y="0"/>
                    <a:ext cx="1310005" cy="733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8952451" w14:textId="77777777" w:rsidR="002B679D" w:rsidRDefault="002B67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387C" w14:textId="77777777" w:rsidR="002B679D" w:rsidRDefault="002B679D">
    <w:pPr>
      <w:pStyle w:val="Header"/>
    </w:pPr>
    <w:r>
      <w:rPr>
        <w:noProof/>
        <w:lang w:val="en-US"/>
      </w:rPr>
      <w:drawing>
        <wp:anchor distT="0" distB="0" distL="114300" distR="114300" simplePos="0" relativeHeight="251657728" behindDoc="1" locked="0" layoutInCell="1" allowOverlap="1" wp14:anchorId="7B3C4131" wp14:editId="519DF7C6">
          <wp:simplePos x="0" y="0"/>
          <wp:positionH relativeFrom="column">
            <wp:posOffset>5300980</wp:posOffset>
          </wp:positionH>
          <wp:positionV relativeFrom="paragraph">
            <wp:posOffset>-373380</wp:posOffset>
          </wp:positionV>
          <wp:extent cx="1310005" cy="733425"/>
          <wp:effectExtent l="0" t="0" r="10795" b="3175"/>
          <wp:wrapTight wrapText="bothSides">
            <wp:wrapPolygon edited="0">
              <wp:start x="0" y="0"/>
              <wp:lineTo x="0" y="20945"/>
              <wp:lineTo x="21359" y="20945"/>
              <wp:lineTo x="2135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rishlogofinal_low resolution.jpg"/>
                  <pic:cNvPicPr/>
                </pic:nvPicPr>
                <pic:blipFill rotWithShape="1">
                  <a:blip r:embed="rId1" cstate="print">
                    <a:extLst>
                      <a:ext uri="{28A0092B-C50C-407E-A947-70E740481C1C}">
                        <a14:useLocalDpi xmlns:a14="http://schemas.microsoft.com/office/drawing/2010/main" val="0"/>
                      </a:ext>
                    </a:extLst>
                  </a:blip>
                  <a:srcRect b="22434"/>
                  <a:stretch/>
                </pic:blipFill>
                <pic:spPr bwMode="auto">
                  <a:xfrm>
                    <a:off x="0" y="0"/>
                    <a:ext cx="1310005" cy="733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81D"/>
    <w:multiLevelType w:val="hybridMultilevel"/>
    <w:tmpl w:val="09F69FB2"/>
    <w:lvl w:ilvl="0" w:tplc="79C60E90">
      <w:start w:val="21"/>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02DA0"/>
    <w:multiLevelType w:val="hybridMultilevel"/>
    <w:tmpl w:val="F7E0FE90"/>
    <w:lvl w:ilvl="0" w:tplc="8006C916">
      <w:start w:val="22"/>
      <w:numFmt w:val="bullet"/>
      <w:lvlText w:val="-"/>
      <w:lvlJc w:val="left"/>
      <w:pPr>
        <w:ind w:left="720" w:hanging="360"/>
      </w:pPr>
      <w:rPr>
        <w:rFonts w:ascii="Calibri Light" w:eastAsiaTheme="minorHAnsi"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C3114"/>
    <w:multiLevelType w:val="hybridMultilevel"/>
    <w:tmpl w:val="A60800BC"/>
    <w:lvl w:ilvl="0" w:tplc="FA4016D0">
      <w:numFmt w:val="bullet"/>
      <w:lvlText w:val="-"/>
      <w:lvlJc w:val="left"/>
      <w:pPr>
        <w:ind w:left="1080" w:hanging="360"/>
      </w:pPr>
      <w:rPr>
        <w:rFonts w:ascii="Calibri Light" w:eastAsiaTheme="minorHAnsi" w:hAnsi="Calibri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135006"/>
    <w:multiLevelType w:val="hybridMultilevel"/>
    <w:tmpl w:val="76400E42"/>
    <w:lvl w:ilvl="0" w:tplc="350A2E74">
      <w:start w:val="22"/>
      <w:numFmt w:val="bullet"/>
      <w:lvlText w:val="-"/>
      <w:lvlJc w:val="left"/>
      <w:pPr>
        <w:ind w:left="720" w:hanging="360"/>
      </w:pPr>
      <w:rPr>
        <w:rFonts w:ascii="Calibri Light" w:eastAsiaTheme="minorHAnsi" w:hAnsi="Calibri Light" w:cstheme="minorBidi" w:hint="default"/>
        <w:b/>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62E96"/>
    <w:multiLevelType w:val="hybridMultilevel"/>
    <w:tmpl w:val="50589F66"/>
    <w:lvl w:ilvl="0" w:tplc="C158D27A">
      <w:start w:val="22"/>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D6304"/>
    <w:multiLevelType w:val="hybridMultilevel"/>
    <w:tmpl w:val="BEF66114"/>
    <w:lvl w:ilvl="0" w:tplc="1BE44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6A27F4"/>
    <w:multiLevelType w:val="hybridMultilevel"/>
    <w:tmpl w:val="CCF2EEEC"/>
    <w:lvl w:ilvl="0" w:tplc="5EE03DF8">
      <w:start w:val="1"/>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070A7"/>
    <w:multiLevelType w:val="hybridMultilevel"/>
    <w:tmpl w:val="E88E4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0442D"/>
    <w:multiLevelType w:val="hybridMultilevel"/>
    <w:tmpl w:val="85661788"/>
    <w:lvl w:ilvl="0" w:tplc="D2742E66">
      <w:numFmt w:val="bullet"/>
      <w:lvlText w:val="-"/>
      <w:lvlJc w:val="left"/>
      <w:pPr>
        <w:ind w:left="1800" w:hanging="360"/>
      </w:pPr>
      <w:rPr>
        <w:rFonts w:ascii="Calibri Light" w:eastAsiaTheme="minorHAnsi" w:hAnsi="Calibri Light"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8C96311"/>
    <w:multiLevelType w:val="hybridMultilevel"/>
    <w:tmpl w:val="0B3C6BC2"/>
    <w:lvl w:ilvl="0" w:tplc="E9C82440">
      <w:numFmt w:val="bullet"/>
      <w:lvlText w:val="-"/>
      <w:lvlJc w:val="left"/>
      <w:pPr>
        <w:ind w:left="851" w:hanging="284"/>
      </w:pPr>
      <w:rPr>
        <w:rFonts w:ascii="Calibri Light" w:eastAsiaTheme="minorHAnsi" w:hAnsi="Calibri Light" w:cstheme="minorBidi" w:hint="default"/>
        <w:u w:val="none"/>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10">
    <w:nsid w:val="2F3D059C"/>
    <w:multiLevelType w:val="hybridMultilevel"/>
    <w:tmpl w:val="52529C82"/>
    <w:lvl w:ilvl="0" w:tplc="793449EC">
      <w:start w:val="22"/>
      <w:numFmt w:val="bullet"/>
      <w:lvlText w:val="-"/>
      <w:lvlJc w:val="left"/>
      <w:pPr>
        <w:ind w:left="720" w:hanging="360"/>
      </w:pPr>
      <w:rPr>
        <w:rFonts w:ascii="Calibri Light" w:eastAsiaTheme="minorHAnsi" w:hAnsi="Calibri Light" w:cstheme="minorBidi" w:hint="default"/>
        <w:b/>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3684C"/>
    <w:multiLevelType w:val="hybridMultilevel"/>
    <w:tmpl w:val="8E141DC4"/>
    <w:lvl w:ilvl="0" w:tplc="D05C134C">
      <w:start w:val="22"/>
      <w:numFmt w:val="bullet"/>
      <w:lvlText w:val="-"/>
      <w:lvlJc w:val="left"/>
      <w:pPr>
        <w:ind w:left="1080" w:hanging="360"/>
      </w:pPr>
      <w:rPr>
        <w:rFonts w:ascii="Calibri Light" w:eastAsiaTheme="minorHAnsi" w:hAnsi="Calibri Light" w:cstheme="minorBidi" w:hint="default"/>
        <w:b/>
        <w:sz w:val="24"/>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C926A4B"/>
    <w:multiLevelType w:val="hybridMultilevel"/>
    <w:tmpl w:val="DFCAD566"/>
    <w:lvl w:ilvl="0" w:tplc="12B63790">
      <w:start w:val="22"/>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DC553F"/>
    <w:multiLevelType w:val="hybridMultilevel"/>
    <w:tmpl w:val="68D65B34"/>
    <w:lvl w:ilvl="0" w:tplc="347CD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5821F15"/>
    <w:multiLevelType w:val="hybridMultilevel"/>
    <w:tmpl w:val="C3D65F74"/>
    <w:lvl w:ilvl="0" w:tplc="A59863CA">
      <w:start w:val="22"/>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952A91"/>
    <w:multiLevelType w:val="hybridMultilevel"/>
    <w:tmpl w:val="160E9F30"/>
    <w:lvl w:ilvl="0" w:tplc="0BA86D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BC31EE6"/>
    <w:multiLevelType w:val="hybridMultilevel"/>
    <w:tmpl w:val="465A57CE"/>
    <w:lvl w:ilvl="0" w:tplc="29B8D12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3059CC"/>
    <w:multiLevelType w:val="hybridMultilevel"/>
    <w:tmpl w:val="11B47EAC"/>
    <w:lvl w:ilvl="0" w:tplc="4C141A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85F5A30"/>
    <w:multiLevelType w:val="hybridMultilevel"/>
    <w:tmpl w:val="CB84004E"/>
    <w:lvl w:ilvl="0" w:tplc="DC7C05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1535BB9"/>
    <w:multiLevelType w:val="hybridMultilevel"/>
    <w:tmpl w:val="5BF0695E"/>
    <w:lvl w:ilvl="0" w:tplc="48DEFC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11"/>
  </w:num>
  <w:num w:numId="4">
    <w:abstractNumId w:val="10"/>
  </w:num>
  <w:num w:numId="5">
    <w:abstractNumId w:val="12"/>
  </w:num>
  <w:num w:numId="6">
    <w:abstractNumId w:val="14"/>
  </w:num>
  <w:num w:numId="7">
    <w:abstractNumId w:val="1"/>
  </w:num>
  <w:num w:numId="8">
    <w:abstractNumId w:val="7"/>
  </w:num>
  <w:num w:numId="9">
    <w:abstractNumId w:val="18"/>
  </w:num>
  <w:num w:numId="10">
    <w:abstractNumId w:val="13"/>
  </w:num>
  <w:num w:numId="11">
    <w:abstractNumId w:val="6"/>
  </w:num>
  <w:num w:numId="12">
    <w:abstractNumId w:val="17"/>
  </w:num>
  <w:num w:numId="13">
    <w:abstractNumId w:val="19"/>
  </w:num>
  <w:num w:numId="14">
    <w:abstractNumId w:val="15"/>
  </w:num>
  <w:num w:numId="15">
    <w:abstractNumId w:val="0"/>
  </w:num>
  <w:num w:numId="16">
    <w:abstractNumId w:val="5"/>
  </w:num>
  <w:num w:numId="17">
    <w:abstractNumId w:val="16"/>
  </w:num>
  <w:num w:numId="18">
    <w:abstractNumId w:val="9"/>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13"/>
    <w:rsid w:val="00001125"/>
    <w:rsid w:val="00002D73"/>
    <w:rsid w:val="00003D47"/>
    <w:rsid w:val="00007532"/>
    <w:rsid w:val="00010B11"/>
    <w:rsid w:val="00012B3C"/>
    <w:rsid w:val="000138D9"/>
    <w:rsid w:val="00016975"/>
    <w:rsid w:val="0002345F"/>
    <w:rsid w:val="00032478"/>
    <w:rsid w:val="00033747"/>
    <w:rsid w:val="00035057"/>
    <w:rsid w:val="000361CB"/>
    <w:rsid w:val="000471FD"/>
    <w:rsid w:val="00051C18"/>
    <w:rsid w:val="00053948"/>
    <w:rsid w:val="000564A3"/>
    <w:rsid w:val="000616CB"/>
    <w:rsid w:val="00063EB6"/>
    <w:rsid w:val="0006703E"/>
    <w:rsid w:val="00071382"/>
    <w:rsid w:val="00074A20"/>
    <w:rsid w:val="000800E5"/>
    <w:rsid w:val="00081095"/>
    <w:rsid w:val="00087588"/>
    <w:rsid w:val="00091DEE"/>
    <w:rsid w:val="000928A8"/>
    <w:rsid w:val="0009465B"/>
    <w:rsid w:val="0009489A"/>
    <w:rsid w:val="000A2C1F"/>
    <w:rsid w:val="000A35A6"/>
    <w:rsid w:val="000A76FB"/>
    <w:rsid w:val="000B06BE"/>
    <w:rsid w:val="000B47EB"/>
    <w:rsid w:val="000B4D13"/>
    <w:rsid w:val="000C315E"/>
    <w:rsid w:val="000C5979"/>
    <w:rsid w:val="000D08CA"/>
    <w:rsid w:val="000D2B49"/>
    <w:rsid w:val="000D2B5C"/>
    <w:rsid w:val="000D3ACC"/>
    <w:rsid w:val="000D52CA"/>
    <w:rsid w:val="000D7CFB"/>
    <w:rsid w:val="000E4799"/>
    <w:rsid w:val="000F4286"/>
    <w:rsid w:val="000F546A"/>
    <w:rsid w:val="000F77AB"/>
    <w:rsid w:val="001017CA"/>
    <w:rsid w:val="001033BF"/>
    <w:rsid w:val="001038E5"/>
    <w:rsid w:val="001071A5"/>
    <w:rsid w:val="00107795"/>
    <w:rsid w:val="00110F04"/>
    <w:rsid w:val="00112925"/>
    <w:rsid w:val="0011594F"/>
    <w:rsid w:val="00115EF7"/>
    <w:rsid w:val="00120B76"/>
    <w:rsid w:val="00124A46"/>
    <w:rsid w:val="00124BA5"/>
    <w:rsid w:val="00125F86"/>
    <w:rsid w:val="00134D38"/>
    <w:rsid w:val="00135912"/>
    <w:rsid w:val="00144F0C"/>
    <w:rsid w:val="00150DAA"/>
    <w:rsid w:val="00152230"/>
    <w:rsid w:val="00154F0C"/>
    <w:rsid w:val="00154FED"/>
    <w:rsid w:val="00156EEF"/>
    <w:rsid w:val="00160025"/>
    <w:rsid w:val="0016189A"/>
    <w:rsid w:val="00162D07"/>
    <w:rsid w:val="001643DE"/>
    <w:rsid w:val="0016479F"/>
    <w:rsid w:val="0016530B"/>
    <w:rsid w:val="0017325A"/>
    <w:rsid w:val="00173D62"/>
    <w:rsid w:val="00176BC9"/>
    <w:rsid w:val="00183880"/>
    <w:rsid w:val="00185E26"/>
    <w:rsid w:val="00190FE2"/>
    <w:rsid w:val="001915FC"/>
    <w:rsid w:val="00192802"/>
    <w:rsid w:val="00193486"/>
    <w:rsid w:val="00195B19"/>
    <w:rsid w:val="001A2D64"/>
    <w:rsid w:val="001A3D3C"/>
    <w:rsid w:val="001B04B3"/>
    <w:rsid w:val="001B4C75"/>
    <w:rsid w:val="001B624F"/>
    <w:rsid w:val="001C181D"/>
    <w:rsid w:val="001C2C69"/>
    <w:rsid w:val="001C5DDE"/>
    <w:rsid w:val="001C681F"/>
    <w:rsid w:val="001D2DE0"/>
    <w:rsid w:val="001E1E3F"/>
    <w:rsid w:val="001E3157"/>
    <w:rsid w:val="001E341E"/>
    <w:rsid w:val="001E3B90"/>
    <w:rsid w:val="001E547B"/>
    <w:rsid w:val="001E746C"/>
    <w:rsid w:val="001F6AAB"/>
    <w:rsid w:val="001F7FBD"/>
    <w:rsid w:val="00203714"/>
    <w:rsid w:val="002133B6"/>
    <w:rsid w:val="0021404A"/>
    <w:rsid w:val="00214918"/>
    <w:rsid w:val="002237AD"/>
    <w:rsid w:val="00232062"/>
    <w:rsid w:val="00233D67"/>
    <w:rsid w:val="0025225A"/>
    <w:rsid w:val="00260156"/>
    <w:rsid w:val="00263E16"/>
    <w:rsid w:val="00272167"/>
    <w:rsid w:val="0027303E"/>
    <w:rsid w:val="00274CF4"/>
    <w:rsid w:val="00275AFC"/>
    <w:rsid w:val="0028121D"/>
    <w:rsid w:val="002848BE"/>
    <w:rsid w:val="00285949"/>
    <w:rsid w:val="0029316E"/>
    <w:rsid w:val="00295549"/>
    <w:rsid w:val="00295DCC"/>
    <w:rsid w:val="00297953"/>
    <w:rsid w:val="002A1078"/>
    <w:rsid w:val="002A142F"/>
    <w:rsid w:val="002A2928"/>
    <w:rsid w:val="002A34D4"/>
    <w:rsid w:val="002A65E9"/>
    <w:rsid w:val="002A6D1A"/>
    <w:rsid w:val="002A7C62"/>
    <w:rsid w:val="002B10FC"/>
    <w:rsid w:val="002B289A"/>
    <w:rsid w:val="002B5D21"/>
    <w:rsid w:val="002B5DBC"/>
    <w:rsid w:val="002B679D"/>
    <w:rsid w:val="002B67F4"/>
    <w:rsid w:val="002C063F"/>
    <w:rsid w:val="002C07BD"/>
    <w:rsid w:val="002C24C7"/>
    <w:rsid w:val="002C53C3"/>
    <w:rsid w:val="002C69B4"/>
    <w:rsid w:val="002D0653"/>
    <w:rsid w:val="002D413E"/>
    <w:rsid w:val="002E178B"/>
    <w:rsid w:val="002E6C00"/>
    <w:rsid w:val="002E7A4F"/>
    <w:rsid w:val="002F1A00"/>
    <w:rsid w:val="002F4F59"/>
    <w:rsid w:val="0030541F"/>
    <w:rsid w:val="003066E4"/>
    <w:rsid w:val="00310923"/>
    <w:rsid w:val="00310A1A"/>
    <w:rsid w:val="003137D8"/>
    <w:rsid w:val="0031505B"/>
    <w:rsid w:val="00317A61"/>
    <w:rsid w:val="00317B55"/>
    <w:rsid w:val="00317BDF"/>
    <w:rsid w:val="003273B7"/>
    <w:rsid w:val="00331B34"/>
    <w:rsid w:val="00334FBB"/>
    <w:rsid w:val="00343D02"/>
    <w:rsid w:val="00343F13"/>
    <w:rsid w:val="00345A0B"/>
    <w:rsid w:val="00345C58"/>
    <w:rsid w:val="003506FB"/>
    <w:rsid w:val="003510CC"/>
    <w:rsid w:val="00355B13"/>
    <w:rsid w:val="003654D8"/>
    <w:rsid w:val="003659F6"/>
    <w:rsid w:val="0036663A"/>
    <w:rsid w:val="00373144"/>
    <w:rsid w:val="00374119"/>
    <w:rsid w:val="00374B47"/>
    <w:rsid w:val="00377D3F"/>
    <w:rsid w:val="003821C3"/>
    <w:rsid w:val="0038792D"/>
    <w:rsid w:val="00390D2C"/>
    <w:rsid w:val="003928E9"/>
    <w:rsid w:val="003939A2"/>
    <w:rsid w:val="003A2050"/>
    <w:rsid w:val="003A63FC"/>
    <w:rsid w:val="003B2817"/>
    <w:rsid w:val="003B3969"/>
    <w:rsid w:val="003B707A"/>
    <w:rsid w:val="003C091E"/>
    <w:rsid w:val="003C4707"/>
    <w:rsid w:val="003D39A6"/>
    <w:rsid w:val="003D3BD7"/>
    <w:rsid w:val="003D6406"/>
    <w:rsid w:val="003D646E"/>
    <w:rsid w:val="003D72EB"/>
    <w:rsid w:val="003E2F8B"/>
    <w:rsid w:val="003E610B"/>
    <w:rsid w:val="003E6E55"/>
    <w:rsid w:val="003F02FF"/>
    <w:rsid w:val="003F07F8"/>
    <w:rsid w:val="003F1404"/>
    <w:rsid w:val="003F47E6"/>
    <w:rsid w:val="00401E84"/>
    <w:rsid w:val="00403539"/>
    <w:rsid w:val="004058B4"/>
    <w:rsid w:val="00407309"/>
    <w:rsid w:val="00407C3E"/>
    <w:rsid w:val="004105F2"/>
    <w:rsid w:val="00420FC6"/>
    <w:rsid w:val="0042255A"/>
    <w:rsid w:val="00422CDB"/>
    <w:rsid w:val="00424713"/>
    <w:rsid w:val="004265CE"/>
    <w:rsid w:val="00426634"/>
    <w:rsid w:val="00426B44"/>
    <w:rsid w:val="00431CD8"/>
    <w:rsid w:val="00433B3D"/>
    <w:rsid w:val="0044214E"/>
    <w:rsid w:val="00442FC4"/>
    <w:rsid w:val="00445AAD"/>
    <w:rsid w:val="00453754"/>
    <w:rsid w:val="00454413"/>
    <w:rsid w:val="00455C05"/>
    <w:rsid w:val="004601CB"/>
    <w:rsid w:val="00461392"/>
    <w:rsid w:val="00463460"/>
    <w:rsid w:val="00490E70"/>
    <w:rsid w:val="00494B23"/>
    <w:rsid w:val="004A02CA"/>
    <w:rsid w:val="004A04FE"/>
    <w:rsid w:val="004A4B01"/>
    <w:rsid w:val="004A68DE"/>
    <w:rsid w:val="004A70E8"/>
    <w:rsid w:val="004B43FF"/>
    <w:rsid w:val="004D13AC"/>
    <w:rsid w:val="004D21A5"/>
    <w:rsid w:val="004D25E7"/>
    <w:rsid w:val="004D547B"/>
    <w:rsid w:val="004D7C14"/>
    <w:rsid w:val="004E0ED7"/>
    <w:rsid w:val="004E0F75"/>
    <w:rsid w:val="004E6B50"/>
    <w:rsid w:val="004F0885"/>
    <w:rsid w:val="004F2670"/>
    <w:rsid w:val="004F3A78"/>
    <w:rsid w:val="004F42B1"/>
    <w:rsid w:val="005007D2"/>
    <w:rsid w:val="0050665C"/>
    <w:rsid w:val="00506EFF"/>
    <w:rsid w:val="00513CF1"/>
    <w:rsid w:val="00517603"/>
    <w:rsid w:val="005251E8"/>
    <w:rsid w:val="005257B0"/>
    <w:rsid w:val="00530664"/>
    <w:rsid w:val="00532295"/>
    <w:rsid w:val="00535FA5"/>
    <w:rsid w:val="005537D1"/>
    <w:rsid w:val="00556672"/>
    <w:rsid w:val="005605A0"/>
    <w:rsid w:val="00563399"/>
    <w:rsid w:val="005649B4"/>
    <w:rsid w:val="00566C45"/>
    <w:rsid w:val="00577343"/>
    <w:rsid w:val="005776B4"/>
    <w:rsid w:val="00584377"/>
    <w:rsid w:val="00584ACA"/>
    <w:rsid w:val="00585D18"/>
    <w:rsid w:val="005924FA"/>
    <w:rsid w:val="00596121"/>
    <w:rsid w:val="00597257"/>
    <w:rsid w:val="005A10CF"/>
    <w:rsid w:val="005A32E4"/>
    <w:rsid w:val="005A5981"/>
    <w:rsid w:val="005A6185"/>
    <w:rsid w:val="005C0F44"/>
    <w:rsid w:val="005C7FE1"/>
    <w:rsid w:val="005D06F6"/>
    <w:rsid w:val="005D219B"/>
    <w:rsid w:val="005E00AC"/>
    <w:rsid w:val="005E523D"/>
    <w:rsid w:val="005E6374"/>
    <w:rsid w:val="005F01A1"/>
    <w:rsid w:val="005F3935"/>
    <w:rsid w:val="005F5CD8"/>
    <w:rsid w:val="005F66D5"/>
    <w:rsid w:val="005F791E"/>
    <w:rsid w:val="00600268"/>
    <w:rsid w:val="00601082"/>
    <w:rsid w:val="00602AFB"/>
    <w:rsid w:val="00603D93"/>
    <w:rsid w:val="00604107"/>
    <w:rsid w:val="00607F84"/>
    <w:rsid w:val="006102D3"/>
    <w:rsid w:val="006131F3"/>
    <w:rsid w:val="00615BD1"/>
    <w:rsid w:val="00617D11"/>
    <w:rsid w:val="00617E22"/>
    <w:rsid w:val="00621DC1"/>
    <w:rsid w:val="00626E91"/>
    <w:rsid w:val="006367EE"/>
    <w:rsid w:val="006401CE"/>
    <w:rsid w:val="006409EA"/>
    <w:rsid w:val="00642BD8"/>
    <w:rsid w:val="006440AE"/>
    <w:rsid w:val="00644BF0"/>
    <w:rsid w:val="00645CDB"/>
    <w:rsid w:val="0065383A"/>
    <w:rsid w:val="00653976"/>
    <w:rsid w:val="006550B3"/>
    <w:rsid w:val="00655D65"/>
    <w:rsid w:val="00657B56"/>
    <w:rsid w:val="00660070"/>
    <w:rsid w:val="006617F0"/>
    <w:rsid w:val="00671505"/>
    <w:rsid w:val="00680CBA"/>
    <w:rsid w:val="00681F77"/>
    <w:rsid w:val="00684C7D"/>
    <w:rsid w:val="00685D6F"/>
    <w:rsid w:val="00687D3E"/>
    <w:rsid w:val="00694793"/>
    <w:rsid w:val="006A0349"/>
    <w:rsid w:val="006A0B7A"/>
    <w:rsid w:val="006A1133"/>
    <w:rsid w:val="006A6B52"/>
    <w:rsid w:val="006B59E1"/>
    <w:rsid w:val="006B66E6"/>
    <w:rsid w:val="006B7293"/>
    <w:rsid w:val="006C0A91"/>
    <w:rsid w:val="006C196B"/>
    <w:rsid w:val="006C1A70"/>
    <w:rsid w:val="006C3C96"/>
    <w:rsid w:val="006D17D4"/>
    <w:rsid w:val="006D4AB3"/>
    <w:rsid w:val="006F3713"/>
    <w:rsid w:val="006F5315"/>
    <w:rsid w:val="006F606F"/>
    <w:rsid w:val="006F630A"/>
    <w:rsid w:val="0070403E"/>
    <w:rsid w:val="00704E51"/>
    <w:rsid w:val="007103DA"/>
    <w:rsid w:val="00711958"/>
    <w:rsid w:val="00712499"/>
    <w:rsid w:val="00716C95"/>
    <w:rsid w:val="007217EB"/>
    <w:rsid w:val="007262A2"/>
    <w:rsid w:val="007279E8"/>
    <w:rsid w:val="00744C1D"/>
    <w:rsid w:val="0074573B"/>
    <w:rsid w:val="00747FBF"/>
    <w:rsid w:val="00764AAA"/>
    <w:rsid w:val="0076540F"/>
    <w:rsid w:val="007707CB"/>
    <w:rsid w:val="0077101D"/>
    <w:rsid w:val="00775D06"/>
    <w:rsid w:val="00777120"/>
    <w:rsid w:val="00777784"/>
    <w:rsid w:val="00777F80"/>
    <w:rsid w:val="00781332"/>
    <w:rsid w:val="00787BF5"/>
    <w:rsid w:val="00790190"/>
    <w:rsid w:val="00790DBD"/>
    <w:rsid w:val="00792BCD"/>
    <w:rsid w:val="007968C0"/>
    <w:rsid w:val="007971A5"/>
    <w:rsid w:val="007A0672"/>
    <w:rsid w:val="007A3032"/>
    <w:rsid w:val="007A55E0"/>
    <w:rsid w:val="007A58C4"/>
    <w:rsid w:val="007B22B1"/>
    <w:rsid w:val="007B5276"/>
    <w:rsid w:val="007B766F"/>
    <w:rsid w:val="007C11F6"/>
    <w:rsid w:val="007C2EC3"/>
    <w:rsid w:val="007D3A51"/>
    <w:rsid w:val="007D79A5"/>
    <w:rsid w:val="007E4580"/>
    <w:rsid w:val="007E5867"/>
    <w:rsid w:val="007F19F4"/>
    <w:rsid w:val="007F1F90"/>
    <w:rsid w:val="007F4250"/>
    <w:rsid w:val="007F5B56"/>
    <w:rsid w:val="007F60E4"/>
    <w:rsid w:val="007F7745"/>
    <w:rsid w:val="00823856"/>
    <w:rsid w:val="00823F43"/>
    <w:rsid w:val="008345BA"/>
    <w:rsid w:val="008350AC"/>
    <w:rsid w:val="0084598A"/>
    <w:rsid w:val="0084687A"/>
    <w:rsid w:val="00851800"/>
    <w:rsid w:val="008528A9"/>
    <w:rsid w:val="008603E6"/>
    <w:rsid w:val="0086200C"/>
    <w:rsid w:val="00877891"/>
    <w:rsid w:val="00877FE4"/>
    <w:rsid w:val="0088079C"/>
    <w:rsid w:val="0088102D"/>
    <w:rsid w:val="0088265C"/>
    <w:rsid w:val="00882FBD"/>
    <w:rsid w:val="0088395C"/>
    <w:rsid w:val="00883FFC"/>
    <w:rsid w:val="008873BA"/>
    <w:rsid w:val="00890409"/>
    <w:rsid w:val="00896782"/>
    <w:rsid w:val="008970A3"/>
    <w:rsid w:val="00897E04"/>
    <w:rsid w:val="008A5F47"/>
    <w:rsid w:val="008A673D"/>
    <w:rsid w:val="008A6CA5"/>
    <w:rsid w:val="008B5893"/>
    <w:rsid w:val="008B7237"/>
    <w:rsid w:val="008B77FA"/>
    <w:rsid w:val="008C1132"/>
    <w:rsid w:val="008C1DED"/>
    <w:rsid w:val="008C359B"/>
    <w:rsid w:val="008C58EA"/>
    <w:rsid w:val="008E2770"/>
    <w:rsid w:val="008F12DB"/>
    <w:rsid w:val="00907201"/>
    <w:rsid w:val="00911AEB"/>
    <w:rsid w:val="009148FF"/>
    <w:rsid w:val="0092159C"/>
    <w:rsid w:val="00921947"/>
    <w:rsid w:val="0092211D"/>
    <w:rsid w:val="0093308E"/>
    <w:rsid w:val="00933913"/>
    <w:rsid w:val="00940C02"/>
    <w:rsid w:val="00941F3C"/>
    <w:rsid w:val="00943AB5"/>
    <w:rsid w:val="0094425F"/>
    <w:rsid w:val="00956FE0"/>
    <w:rsid w:val="00961AE9"/>
    <w:rsid w:val="00963312"/>
    <w:rsid w:val="00963885"/>
    <w:rsid w:val="00963E5B"/>
    <w:rsid w:val="00966C03"/>
    <w:rsid w:val="00972058"/>
    <w:rsid w:val="00972F9B"/>
    <w:rsid w:val="00975F9B"/>
    <w:rsid w:val="00977A54"/>
    <w:rsid w:val="009843FF"/>
    <w:rsid w:val="00986D69"/>
    <w:rsid w:val="00987D9E"/>
    <w:rsid w:val="00994225"/>
    <w:rsid w:val="009943A9"/>
    <w:rsid w:val="00995967"/>
    <w:rsid w:val="00997335"/>
    <w:rsid w:val="009A1CE1"/>
    <w:rsid w:val="009A305C"/>
    <w:rsid w:val="009A7405"/>
    <w:rsid w:val="009B3EFA"/>
    <w:rsid w:val="009B4038"/>
    <w:rsid w:val="009B4279"/>
    <w:rsid w:val="009B6DE0"/>
    <w:rsid w:val="009C418B"/>
    <w:rsid w:val="009C6124"/>
    <w:rsid w:val="009C68DB"/>
    <w:rsid w:val="009D2D77"/>
    <w:rsid w:val="009D6227"/>
    <w:rsid w:val="009D6E2D"/>
    <w:rsid w:val="009E201B"/>
    <w:rsid w:val="009E62AB"/>
    <w:rsid w:val="009E6831"/>
    <w:rsid w:val="009F5991"/>
    <w:rsid w:val="00A00925"/>
    <w:rsid w:val="00A01B2A"/>
    <w:rsid w:val="00A04169"/>
    <w:rsid w:val="00A04531"/>
    <w:rsid w:val="00A063D3"/>
    <w:rsid w:val="00A11B4E"/>
    <w:rsid w:val="00A13D8E"/>
    <w:rsid w:val="00A16EAA"/>
    <w:rsid w:val="00A16F1A"/>
    <w:rsid w:val="00A17B6C"/>
    <w:rsid w:val="00A24C86"/>
    <w:rsid w:val="00A3171F"/>
    <w:rsid w:val="00A32AE8"/>
    <w:rsid w:val="00A34388"/>
    <w:rsid w:val="00A34BFC"/>
    <w:rsid w:val="00A351B5"/>
    <w:rsid w:val="00A35423"/>
    <w:rsid w:val="00A37A7F"/>
    <w:rsid w:val="00A4060B"/>
    <w:rsid w:val="00A40FC5"/>
    <w:rsid w:val="00A44142"/>
    <w:rsid w:val="00A54A85"/>
    <w:rsid w:val="00A55C9F"/>
    <w:rsid w:val="00A62820"/>
    <w:rsid w:val="00A62CFA"/>
    <w:rsid w:val="00A62E37"/>
    <w:rsid w:val="00A637BC"/>
    <w:rsid w:val="00A66F71"/>
    <w:rsid w:val="00A67656"/>
    <w:rsid w:val="00A71F31"/>
    <w:rsid w:val="00A762BD"/>
    <w:rsid w:val="00A77B36"/>
    <w:rsid w:val="00A920C9"/>
    <w:rsid w:val="00A942FD"/>
    <w:rsid w:val="00A948BE"/>
    <w:rsid w:val="00A9569F"/>
    <w:rsid w:val="00AA6BE2"/>
    <w:rsid w:val="00AA7CC3"/>
    <w:rsid w:val="00AB2C59"/>
    <w:rsid w:val="00AB30C9"/>
    <w:rsid w:val="00AB3CF9"/>
    <w:rsid w:val="00AB5950"/>
    <w:rsid w:val="00AC316F"/>
    <w:rsid w:val="00AC7B6F"/>
    <w:rsid w:val="00AD05D3"/>
    <w:rsid w:val="00AD0998"/>
    <w:rsid w:val="00AD2880"/>
    <w:rsid w:val="00AD3FAC"/>
    <w:rsid w:val="00AD4793"/>
    <w:rsid w:val="00AD52EA"/>
    <w:rsid w:val="00AE1F97"/>
    <w:rsid w:val="00AE3895"/>
    <w:rsid w:val="00AE3CE6"/>
    <w:rsid w:val="00AE5D60"/>
    <w:rsid w:val="00AF1DBB"/>
    <w:rsid w:val="00AF5864"/>
    <w:rsid w:val="00AF6B70"/>
    <w:rsid w:val="00AF7704"/>
    <w:rsid w:val="00B030CA"/>
    <w:rsid w:val="00B036A5"/>
    <w:rsid w:val="00B04230"/>
    <w:rsid w:val="00B06F05"/>
    <w:rsid w:val="00B11999"/>
    <w:rsid w:val="00B12743"/>
    <w:rsid w:val="00B16C0E"/>
    <w:rsid w:val="00B2692B"/>
    <w:rsid w:val="00B304EA"/>
    <w:rsid w:val="00B311EE"/>
    <w:rsid w:val="00B3166A"/>
    <w:rsid w:val="00B33048"/>
    <w:rsid w:val="00B33E20"/>
    <w:rsid w:val="00B35660"/>
    <w:rsid w:val="00B41B26"/>
    <w:rsid w:val="00B43B5B"/>
    <w:rsid w:val="00B44D66"/>
    <w:rsid w:val="00B564FB"/>
    <w:rsid w:val="00B57237"/>
    <w:rsid w:val="00B57399"/>
    <w:rsid w:val="00B624EA"/>
    <w:rsid w:val="00B64950"/>
    <w:rsid w:val="00B64E2D"/>
    <w:rsid w:val="00B6706C"/>
    <w:rsid w:val="00B764A7"/>
    <w:rsid w:val="00B777EC"/>
    <w:rsid w:val="00B77959"/>
    <w:rsid w:val="00B77FDA"/>
    <w:rsid w:val="00B80A5E"/>
    <w:rsid w:val="00B81802"/>
    <w:rsid w:val="00B82434"/>
    <w:rsid w:val="00B839BA"/>
    <w:rsid w:val="00B9098F"/>
    <w:rsid w:val="00B96117"/>
    <w:rsid w:val="00B963ED"/>
    <w:rsid w:val="00B9698B"/>
    <w:rsid w:val="00BB3924"/>
    <w:rsid w:val="00BB5BE7"/>
    <w:rsid w:val="00BB5CB1"/>
    <w:rsid w:val="00BC0AB5"/>
    <w:rsid w:val="00BD0011"/>
    <w:rsid w:val="00BD07B2"/>
    <w:rsid w:val="00BD0C4C"/>
    <w:rsid w:val="00BD1C5D"/>
    <w:rsid w:val="00BD4034"/>
    <w:rsid w:val="00BD420E"/>
    <w:rsid w:val="00BD44F7"/>
    <w:rsid w:val="00BE7BF5"/>
    <w:rsid w:val="00BF033C"/>
    <w:rsid w:val="00BF2E13"/>
    <w:rsid w:val="00BF6FD7"/>
    <w:rsid w:val="00C0044F"/>
    <w:rsid w:val="00C00567"/>
    <w:rsid w:val="00C03154"/>
    <w:rsid w:val="00C052DA"/>
    <w:rsid w:val="00C061E3"/>
    <w:rsid w:val="00C10C63"/>
    <w:rsid w:val="00C1688A"/>
    <w:rsid w:val="00C31561"/>
    <w:rsid w:val="00C35C15"/>
    <w:rsid w:val="00C401CA"/>
    <w:rsid w:val="00C45616"/>
    <w:rsid w:val="00C5103A"/>
    <w:rsid w:val="00C52CC5"/>
    <w:rsid w:val="00C57429"/>
    <w:rsid w:val="00C61F71"/>
    <w:rsid w:val="00C62722"/>
    <w:rsid w:val="00C66FB0"/>
    <w:rsid w:val="00C670BA"/>
    <w:rsid w:val="00C73ACF"/>
    <w:rsid w:val="00C847F1"/>
    <w:rsid w:val="00C879B3"/>
    <w:rsid w:val="00C90B34"/>
    <w:rsid w:val="00C96682"/>
    <w:rsid w:val="00CA0DB4"/>
    <w:rsid w:val="00CA22C6"/>
    <w:rsid w:val="00CB03D2"/>
    <w:rsid w:val="00CB1E40"/>
    <w:rsid w:val="00CB2E96"/>
    <w:rsid w:val="00CB4C44"/>
    <w:rsid w:val="00CB7638"/>
    <w:rsid w:val="00CC00A7"/>
    <w:rsid w:val="00CC592B"/>
    <w:rsid w:val="00CC5ED5"/>
    <w:rsid w:val="00CC7D3C"/>
    <w:rsid w:val="00CD26F7"/>
    <w:rsid w:val="00CD55FD"/>
    <w:rsid w:val="00CD7115"/>
    <w:rsid w:val="00D01B62"/>
    <w:rsid w:val="00D02A49"/>
    <w:rsid w:val="00D02E68"/>
    <w:rsid w:val="00D048D7"/>
    <w:rsid w:val="00D05D10"/>
    <w:rsid w:val="00D0639E"/>
    <w:rsid w:val="00D15A0B"/>
    <w:rsid w:val="00D16D70"/>
    <w:rsid w:val="00D207D7"/>
    <w:rsid w:val="00D22FA8"/>
    <w:rsid w:val="00D31E0B"/>
    <w:rsid w:val="00D32A59"/>
    <w:rsid w:val="00D34320"/>
    <w:rsid w:val="00D42DB0"/>
    <w:rsid w:val="00D431BE"/>
    <w:rsid w:val="00D44AB6"/>
    <w:rsid w:val="00D45326"/>
    <w:rsid w:val="00D4681A"/>
    <w:rsid w:val="00D50F55"/>
    <w:rsid w:val="00D533C3"/>
    <w:rsid w:val="00D57995"/>
    <w:rsid w:val="00D63C57"/>
    <w:rsid w:val="00D64448"/>
    <w:rsid w:val="00D71759"/>
    <w:rsid w:val="00D757CC"/>
    <w:rsid w:val="00D921E4"/>
    <w:rsid w:val="00D925C8"/>
    <w:rsid w:val="00D92F8B"/>
    <w:rsid w:val="00D9352B"/>
    <w:rsid w:val="00D977D8"/>
    <w:rsid w:val="00DA441C"/>
    <w:rsid w:val="00DA5CE4"/>
    <w:rsid w:val="00DA61F4"/>
    <w:rsid w:val="00DA7099"/>
    <w:rsid w:val="00DB1D16"/>
    <w:rsid w:val="00DB2427"/>
    <w:rsid w:val="00DB74C7"/>
    <w:rsid w:val="00DC17D0"/>
    <w:rsid w:val="00DC2664"/>
    <w:rsid w:val="00DC3E00"/>
    <w:rsid w:val="00DD2942"/>
    <w:rsid w:val="00DD6879"/>
    <w:rsid w:val="00DE18E7"/>
    <w:rsid w:val="00DF0E5B"/>
    <w:rsid w:val="00DF2103"/>
    <w:rsid w:val="00DF425C"/>
    <w:rsid w:val="00DF4823"/>
    <w:rsid w:val="00DF5548"/>
    <w:rsid w:val="00DF63B4"/>
    <w:rsid w:val="00E11703"/>
    <w:rsid w:val="00E13ABD"/>
    <w:rsid w:val="00E140B6"/>
    <w:rsid w:val="00E214EE"/>
    <w:rsid w:val="00E2425C"/>
    <w:rsid w:val="00E33118"/>
    <w:rsid w:val="00E33421"/>
    <w:rsid w:val="00E40088"/>
    <w:rsid w:val="00E46582"/>
    <w:rsid w:val="00E532C2"/>
    <w:rsid w:val="00E6702F"/>
    <w:rsid w:val="00E67BB6"/>
    <w:rsid w:val="00E7029B"/>
    <w:rsid w:val="00E70509"/>
    <w:rsid w:val="00E74BF2"/>
    <w:rsid w:val="00E75066"/>
    <w:rsid w:val="00E756E5"/>
    <w:rsid w:val="00E81D65"/>
    <w:rsid w:val="00E901FF"/>
    <w:rsid w:val="00E915D9"/>
    <w:rsid w:val="00E918AB"/>
    <w:rsid w:val="00E920DD"/>
    <w:rsid w:val="00E92247"/>
    <w:rsid w:val="00E92AB4"/>
    <w:rsid w:val="00E958BD"/>
    <w:rsid w:val="00E97890"/>
    <w:rsid w:val="00E97A39"/>
    <w:rsid w:val="00EA0684"/>
    <w:rsid w:val="00EA11C3"/>
    <w:rsid w:val="00EA7358"/>
    <w:rsid w:val="00EB3B55"/>
    <w:rsid w:val="00EB50AA"/>
    <w:rsid w:val="00EB7E5B"/>
    <w:rsid w:val="00EC3D02"/>
    <w:rsid w:val="00EC708D"/>
    <w:rsid w:val="00ED4664"/>
    <w:rsid w:val="00ED5356"/>
    <w:rsid w:val="00EE5297"/>
    <w:rsid w:val="00EE74D3"/>
    <w:rsid w:val="00EF00B6"/>
    <w:rsid w:val="00EF4E1D"/>
    <w:rsid w:val="00EF7C34"/>
    <w:rsid w:val="00EF7EEF"/>
    <w:rsid w:val="00F03AFF"/>
    <w:rsid w:val="00F07CC8"/>
    <w:rsid w:val="00F1051E"/>
    <w:rsid w:val="00F11C7E"/>
    <w:rsid w:val="00F13AD1"/>
    <w:rsid w:val="00F13CA4"/>
    <w:rsid w:val="00F14BB4"/>
    <w:rsid w:val="00F2138C"/>
    <w:rsid w:val="00F2237E"/>
    <w:rsid w:val="00F24B49"/>
    <w:rsid w:val="00F2685D"/>
    <w:rsid w:val="00F32BBD"/>
    <w:rsid w:val="00F33575"/>
    <w:rsid w:val="00F35013"/>
    <w:rsid w:val="00F3733B"/>
    <w:rsid w:val="00F455C7"/>
    <w:rsid w:val="00F456C7"/>
    <w:rsid w:val="00F46244"/>
    <w:rsid w:val="00F51C23"/>
    <w:rsid w:val="00F542AC"/>
    <w:rsid w:val="00F578CB"/>
    <w:rsid w:val="00F57933"/>
    <w:rsid w:val="00F613BF"/>
    <w:rsid w:val="00F64C39"/>
    <w:rsid w:val="00F70F49"/>
    <w:rsid w:val="00F71694"/>
    <w:rsid w:val="00F76020"/>
    <w:rsid w:val="00F80C3D"/>
    <w:rsid w:val="00F82F1E"/>
    <w:rsid w:val="00F833BF"/>
    <w:rsid w:val="00F849C1"/>
    <w:rsid w:val="00F85DF7"/>
    <w:rsid w:val="00FA7B8A"/>
    <w:rsid w:val="00FB1271"/>
    <w:rsid w:val="00FB24A6"/>
    <w:rsid w:val="00FB4169"/>
    <w:rsid w:val="00FB57E4"/>
    <w:rsid w:val="00FC2681"/>
    <w:rsid w:val="00FC3A34"/>
    <w:rsid w:val="00FD237F"/>
    <w:rsid w:val="00FD2AF5"/>
    <w:rsid w:val="00FD3308"/>
    <w:rsid w:val="00FD402F"/>
    <w:rsid w:val="00FE019A"/>
    <w:rsid w:val="00FE21E9"/>
    <w:rsid w:val="00FE3A48"/>
    <w:rsid w:val="00FE5112"/>
    <w:rsid w:val="00FF2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3C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35057"/>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03505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A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42F"/>
  </w:style>
  <w:style w:type="paragraph" w:styleId="Footer">
    <w:name w:val="footer"/>
    <w:basedOn w:val="Normal"/>
    <w:link w:val="FooterChar"/>
    <w:uiPriority w:val="99"/>
    <w:unhideWhenUsed/>
    <w:rsid w:val="002A1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42F"/>
  </w:style>
  <w:style w:type="paragraph" w:styleId="NormalWeb">
    <w:name w:val="Normal (Web)"/>
    <w:basedOn w:val="Normal"/>
    <w:uiPriority w:val="99"/>
    <w:semiHidden/>
    <w:unhideWhenUsed/>
    <w:rsid w:val="00F80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0C3D"/>
    <w:rPr>
      <w:b/>
      <w:bCs/>
    </w:rPr>
  </w:style>
  <w:style w:type="character" w:customStyle="1" w:styleId="apple-converted-space">
    <w:name w:val="apple-converted-space"/>
    <w:basedOn w:val="DefaultParagraphFont"/>
    <w:rsid w:val="00F80C3D"/>
  </w:style>
  <w:style w:type="character" w:styleId="Hyperlink">
    <w:name w:val="Hyperlink"/>
    <w:basedOn w:val="DefaultParagraphFont"/>
    <w:uiPriority w:val="99"/>
    <w:unhideWhenUsed/>
    <w:rsid w:val="00F80C3D"/>
    <w:rPr>
      <w:color w:val="0563C1" w:themeColor="hyperlink"/>
      <w:u w:val="single"/>
    </w:rPr>
  </w:style>
  <w:style w:type="paragraph" w:styleId="ListParagraph">
    <w:name w:val="List Paragraph"/>
    <w:basedOn w:val="Normal"/>
    <w:uiPriority w:val="34"/>
    <w:qFormat/>
    <w:rsid w:val="000A35A6"/>
    <w:pPr>
      <w:ind w:left="720"/>
      <w:contextualSpacing/>
    </w:pPr>
  </w:style>
  <w:style w:type="paragraph" w:styleId="FootnoteText">
    <w:name w:val="footnote text"/>
    <w:basedOn w:val="Normal"/>
    <w:link w:val="FootnoteTextChar"/>
    <w:uiPriority w:val="99"/>
    <w:semiHidden/>
    <w:unhideWhenUsed/>
    <w:rsid w:val="00150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DAA"/>
    <w:rPr>
      <w:sz w:val="20"/>
      <w:szCs w:val="20"/>
    </w:rPr>
  </w:style>
  <w:style w:type="character" w:styleId="FootnoteReference">
    <w:name w:val="footnote reference"/>
    <w:basedOn w:val="DefaultParagraphFont"/>
    <w:uiPriority w:val="99"/>
    <w:semiHidden/>
    <w:unhideWhenUsed/>
    <w:rsid w:val="00150DAA"/>
    <w:rPr>
      <w:vertAlign w:val="superscript"/>
    </w:rPr>
  </w:style>
  <w:style w:type="paragraph" w:styleId="EndnoteText">
    <w:name w:val="endnote text"/>
    <w:basedOn w:val="Normal"/>
    <w:link w:val="EndnoteTextChar"/>
    <w:uiPriority w:val="99"/>
    <w:unhideWhenUsed/>
    <w:rsid w:val="00506EFF"/>
    <w:pPr>
      <w:spacing w:after="0" w:line="240" w:lineRule="auto"/>
    </w:pPr>
    <w:rPr>
      <w:sz w:val="20"/>
      <w:szCs w:val="20"/>
    </w:rPr>
  </w:style>
  <w:style w:type="character" w:customStyle="1" w:styleId="EndnoteTextChar">
    <w:name w:val="Endnote Text Char"/>
    <w:basedOn w:val="DefaultParagraphFont"/>
    <w:link w:val="EndnoteText"/>
    <w:uiPriority w:val="99"/>
    <w:rsid w:val="00506EFF"/>
    <w:rPr>
      <w:sz w:val="20"/>
      <w:szCs w:val="20"/>
    </w:rPr>
  </w:style>
  <w:style w:type="character" w:styleId="EndnoteReference">
    <w:name w:val="endnote reference"/>
    <w:basedOn w:val="DefaultParagraphFont"/>
    <w:uiPriority w:val="99"/>
    <w:unhideWhenUsed/>
    <w:rsid w:val="00506EFF"/>
    <w:rPr>
      <w:vertAlign w:val="superscript"/>
    </w:rPr>
  </w:style>
  <w:style w:type="character" w:styleId="CommentReference">
    <w:name w:val="annotation reference"/>
    <w:basedOn w:val="DefaultParagraphFont"/>
    <w:uiPriority w:val="99"/>
    <w:semiHidden/>
    <w:unhideWhenUsed/>
    <w:rsid w:val="00B44D66"/>
    <w:rPr>
      <w:sz w:val="16"/>
      <w:szCs w:val="16"/>
    </w:rPr>
  </w:style>
  <w:style w:type="paragraph" w:styleId="CommentText">
    <w:name w:val="annotation text"/>
    <w:basedOn w:val="Normal"/>
    <w:link w:val="CommentTextChar"/>
    <w:uiPriority w:val="99"/>
    <w:semiHidden/>
    <w:unhideWhenUsed/>
    <w:rsid w:val="00B44D66"/>
    <w:pPr>
      <w:spacing w:line="240" w:lineRule="auto"/>
    </w:pPr>
    <w:rPr>
      <w:sz w:val="20"/>
      <w:szCs w:val="20"/>
    </w:rPr>
  </w:style>
  <w:style w:type="character" w:customStyle="1" w:styleId="CommentTextChar">
    <w:name w:val="Comment Text Char"/>
    <w:basedOn w:val="DefaultParagraphFont"/>
    <w:link w:val="CommentText"/>
    <w:uiPriority w:val="99"/>
    <w:semiHidden/>
    <w:rsid w:val="00B44D66"/>
    <w:rPr>
      <w:sz w:val="20"/>
      <w:szCs w:val="20"/>
    </w:rPr>
  </w:style>
  <w:style w:type="paragraph" w:styleId="CommentSubject">
    <w:name w:val="annotation subject"/>
    <w:basedOn w:val="CommentText"/>
    <w:next w:val="CommentText"/>
    <w:link w:val="CommentSubjectChar"/>
    <w:uiPriority w:val="99"/>
    <w:semiHidden/>
    <w:unhideWhenUsed/>
    <w:rsid w:val="00B44D66"/>
    <w:rPr>
      <w:b/>
      <w:bCs/>
    </w:rPr>
  </w:style>
  <w:style w:type="character" w:customStyle="1" w:styleId="CommentSubjectChar">
    <w:name w:val="Comment Subject Char"/>
    <w:basedOn w:val="CommentTextChar"/>
    <w:link w:val="CommentSubject"/>
    <w:uiPriority w:val="99"/>
    <w:semiHidden/>
    <w:rsid w:val="00B44D66"/>
    <w:rPr>
      <w:b/>
      <w:bCs/>
      <w:sz w:val="20"/>
      <w:szCs w:val="20"/>
    </w:rPr>
  </w:style>
  <w:style w:type="paragraph" w:styleId="BalloonText">
    <w:name w:val="Balloon Text"/>
    <w:basedOn w:val="Normal"/>
    <w:link w:val="BalloonTextChar"/>
    <w:uiPriority w:val="99"/>
    <w:semiHidden/>
    <w:unhideWhenUsed/>
    <w:rsid w:val="00B44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6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35057"/>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03505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A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42F"/>
  </w:style>
  <w:style w:type="paragraph" w:styleId="Footer">
    <w:name w:val="footer"/>
    <w:basedOn w:val="Normal"/>
    <w:link w:val="FooterChar"/>
    <w:uiPriority w:val="99"/>
    <w:unhideWhenUsed/>
    <w:rsid w:val="002A1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42F"/>
  </w:style>
  <w:style w:type="paragraph" w:styleId="NormalWeb">
    <w:name w:val="Normal (Web)"/>
    <w:basedOn w:val="Normal"/>
    <w:uiPriority w:val="99"/>
    <w:semiHidden/>
    <w:unhideWhenUsed/>
    <w:rsid w:val="00F80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0C3D"/>
    <w:rPr>
      <w:b/>
      <w:bCs/>
    </w:rPr>
  </w:style>
  <w:style w:type="character" w:customStyle="1" w:styleId="apple-converted-space">
    <w:name w:val="apple-converted-space"/>
    <w:basedOn w:val="DefaultParagraphFont"/>
    <w:rsid w:val="00F80C3D"/>
  </w:style>
  <w:style w:type="character" w:styleId="Hyperlink">
    <w:name w:val="Hyperlink"/>
    <w:basedOn w:val="DefaultParagraphFont"/>
    <w:uiPriority w:val="99"/>
    <w:unhideWhenUsed/>
    <w:rsid w:val="00F80C3D"/>
    <w:rPr>
      <w:color w:val="0563C1" w:themeColor="hyperlink"/>
      <w:u w:val="single"/>
    </w:rPr>
  </w:style>
  <w:style w:type="paragraph" w:styleId="ListParagraph">
    <w:name w:val="List Paragraph"/>
    <w:basedOn w:val="Normal"/>
    <w:uiPriority w:val="34"/>
    <w:qFormat/>
    <w:rsid w:val="000A35A6"/>
    <w:pPr>
      <w:ind w:left="720"/>
      <w:contextualSpacing/>
    </w:pPr>
  </w:style>
  <w:style w:type="paragraph" w:styleId="FootnoteText">
    <w:name w:val="footnote text"/>
    <w:basedOn w:val="Normal"/>
    <w:link w:val="FootnoteTextChar"/>
    <w:uiPriority w:val="99"/>
    <w:semiHidden/>
    <w:unhideWhenUsed/>
    <w:rsid w:val="00150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DAA"/>
    <w:rPr>
      <w:sz w:val="20"/>
      <w:szCs w:val="20"/>
    </w:rPr>
  </w:style>
  <w:style w:type="character" w:styleId="FootnoteReference">
    <w:name w:val="footnote reference"/>
    <w:basedOn w:val="DefaultParagraphFont"/>
    <w:uiPriority w:val="99"/>
    <w:semiHidden/>
    <w:unhideWhenUsed/>
    <w:rsid w:val="00150DAA"/>
    <w:rPr>
      <w:vertAlign w:val="superscript"/>
    </w:rPr>
  </w:style>
  <w:style w:type="paragraph" w:styleId="EndnoteText">
    <w:name w:val="endnote text"/>
    <w:basedOn w:val="Normal"/>
    <w:link w:val="EndnoteTextChar"/>
    <w:uiPriority w:val="99"/>
    <w:unhideWhenUsed/>
    <w:rsid w:val="00506EFF"/>
    <w:pPr>
      <w:spacing w:after="0" w:line="240" w:lineRule="auto"/>
    </w:pPr>
    <w:rPr>
      <w:sz w:val="20"/>
      <w:szCs w:val="20"/>
    </w:rPr>
  </w:style>
  <w:style w:type="character" w:customStyle="1" w:styleId="EndnoteTextChar">
    <w:name w:val="Endnote Text Char"/>
    <w:basedOn w:val="DefaultParagraphFont"/>
    <w:link w:val="EndnoteText"/>
    <w:uiPriority w:val="99"/>
    <w:rsid w:val="00506EFF"/>
    <w:rPr>
      <w:sz w:val="20"/>
      <w:szCs w:val="20"/>
    </w:rPr>
  </w:style>
  <w:style w:type="character" w:styleId="EndnoteReference">
    <w:name w:val="endnote reference"/>
    <w:basedOn w:val="DefaultParagraphFont"/>
    <w:uiPriority w:val="99"/>
    <w:unhideWhenUsed/>
    <w:rsid w:val="00506EFF"/>
    <w:rPr>
      <w:vertAlign w:val="superscript"/>
    </w:rPr>
  </w:style>
  <w:style w:type="character" w:styleId="CommentReference">
    <w:name w:val="annotation reference"/>
    <w:basedOn w:val="DefaultParagraphFont"/>
    <w:uiPriority w:val="99"/>
    <w:semiHidden/>
    <w:unhideWhenUsed/>
    <w:rsid w:val="00B44D66"/>
    <w:rPr>
      <w:sz w:val="16"/>
      <w:szCs w:val="16"/>
    </w:rPr>
  </w:style>
  <w:style w:type="paragraph" w:styleId="CommentText">
    <w:name w:val="annotation text"/>
    <w:basedOn w:val="Normal"/>
    <w:link w:val="CommentTextChar"/>
    <w:uiPriority w:val="99"/>
    <w:semiHidden/>
    <w:unhideWhenUsed/>
    <w:rsid w:val="00B44D66"/>
    <w:pPr>
      <w:spacing w:line="240" w:lineRule="auto"/>
    </w:pPr>
    <w:rPr>
      <w:sz w:val="20"/>
      <w:szCs w:val="20"/>
    </w:rPr>
  </w:style>
  <w:style w:type="character" w:customStyle="1" w:styleId="CommentTextChar">
    <w:name w:val="Comment Text Char"/>
    <w:basedOn w:val="DefaultParagraphFont"/>
    <w:link w:val="CommentText"/>
    <w:uiPriority w:val="99"/>
    <w:semiHidden/>
    <w:rsid w:val="00B44D66"/>
    <w:rPr>
      <w:sz w:val="20"/>
      <w:szCs w:val="20"/>
    </w:rPr>
  </w:style>
  <w:style w:type="paragraph" w:styleId="CommentSubject">
    <w:name w:val="annotation subject"/>
    <w:basedOn w:val="CommentText"/>
    <w:next w:val="CommentText"/>
    <w:link w:val="CommentSubjectChar"/>
    <w:uiPriority w:val="99"/>
    <w:semiHidden/>
    <w:unhideWhenUsed/>
    <w:rsid w:val="00B44D66"/>
    <w:rPr>
      <w:b/>
      <w:bCs/>
    </w:rPr>
  </w:style>
  <w:style w:type="character" w:customStyle="1" w:styleId="CommentSubjectChar">
    <w:name w:val="Comment Subject Char"/>
    <w:basedOn w:val="CommentTextChar"/>
    <w:link w:val="CommentSubject"/>
    <w:uiPriority w:val="99"/>
    <w:semiHidden/>
    <w:rsid w:val="00B44D66"/>
    <w:rPr>
      <w:b/>
      <w:bCs/>
      <w:sz w:val="20"/>
      <w:szCs w:val="20"/>
    </w:rPr>
  </w:style>
  <w:style w:type="paragraph" w:styleId="BalloonText">
    <w:name w:val="Balloon Text"/>
    <w:basedOn w:val="Normal"/>
    <w:link w:val="BalloonTextChar"/>
    <w:uiPriority w:val="99"/>
    <w:semiHidden/>
    <w:unhideWhenUsed/>
    <w:rsid w:val="00B44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070">
      <w:bodyDiv w:val="1"/>
      <w:marLeft w:val="0"/>
      <w:marRight w:val="0"/>
      <w:marTop w:val="0"/>
      <w:marBottom w:val="0"/>
      <w:divBdr>
        <w:top w:val="none" w:sz="0" w:space="0" w:color="auto"/>
        <w:left w:val="none" w:sz="0" w:space="0" w:color="auto"/>
        <w:bottom w:val="none" w:sz="0" w:space="0" w:color="auto"/>
        <w:right w:val="none" w:sz="0" w:space="0" w:color="auto"/>
      </w:divBdr>
    </w:div>
    <w:div w:id="133570440">
      <w:bodyDiv w:val="1"/>
      <w:marLeft w:val="0"/>
      <w:marRight w:val="0"/>
      <w:marTop w:val="0"/>
      <w:marBottom w:val="0"/>
      <w:divBdr>
        <w:top w:val="none" w:sz="0" w:space="0" w:color="auto"/>
        <w:left w:val="none" w:sz="0" w:space="0" w:color="auto"/>
        <w:bottom w:val="none" w:sz="0" w:space="0" w:color="auto"/>
        <w:right w:val="none" w:sz="0" w:space="0" w:color="auto"/>
      </w:divBdr>
    </w:div>
    <w:div w:id="12700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lli@nourishscotland.org.uk"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42" Type="http://schemas.openxmlformats.org/officeDocument/2006/relationships/hyperlink" Target="https://www.gov.uk/government/uploads/system/uploads/attachment_data/file/430411/auk-2014-28may15a.pdf" TargetMode="External"/><Relationship Id="rId143" Type="http://schemas.openxmlformats.org/officeDocument/2006/relationships/hyperlink" Target="http://foodfoundation.org.uk/wp-content/uploads/2016/01/The-Food-Foundation-64pp-A4-Landscape-Brochure-AW-V32.pdf" TargetMode="External"/><Relationship Id="rId144" Type="http://schemas.openxmlformats.org/officeDocument/2006/relationships/hyperlink" Target="https://www.gov.uk/government/statistics/uk-milk-prices-and-composition-of-milk" TargetMode="External"/><Relationship Id="rId145" Type="http://schemas.openxmlformats.org/officeDocument/2006/relationships/hyperlink" Target="file:///C:\Users\Elli\Documents\Nourish\ICESCR\researchbriefings.files.parliament.uk\documents\SN02721\SN02721.pdf" TargetMode="External"/><Relationship Id="rId146" Type="http://schemas.openxmlformats.org/officeDocument/2006/relationships/hyperlink" Target="file:///C:\Users\Elli\Documents\Nourish\ICESCR\researchbriefings.files.parliament.uk\documents\SN06124\SN06124.pdf" TargetMode="External"/><Relationship Id="rId147" Type="http://schemas.openxmlformats.org/officeDocument/2006/relationships/hyperlink" Target="https://www.gov.uk/government/uploads/system/uploads/attachment_data/file/494840/GCA_Tesco_plc_final_report_26012016_-_version_for_download.pdf" TargetMode="External"/><Relationship Id="rId148" Type="http://schemas.openxmlformats.org/officeDocument/2006/relationships/hyperlink" Target="http://onlinelibrary.wiley.com/store/10.1111/1365-2664.12254/asset/jpe12254.pdf;jsessionid=5AD3CD08AE568F14F9FBFB46F07A0A2E.f04t01?v=1&amp;t=inxejc0q&amp;s=e21bc74fd1195f690d2340d1de6103b073795664" TargetMode="External"/><Relationship Id="rId149" Type="http://schemas.openxmlformats.org/officeDocument/2006/relationships/hyperlink" Target="https://www.rspb.org.uk/Images/stateofnature_tcm9-345839.pdf" TargetMode="External"/><Relationship Id="rId180" Type="http://schemas.openxmlformats.org/officeDocument/2006/relationships/hyperlink" Target="http://pressoffice.kelloggs.co.uk/download/HOLIDAY+HUNGER+REPORT.pdf" TargetMode="External"/><Relationship Id="rId181" Type="http://schemas.openxmlformats.org/officeDocument/2006/relationships/hyperlink" Target="http://www.scope.org.uk/Scope/media/Images/Publication%20Directory/Priced-out.pdf?ext=.pdf" TargetMode="External"/><Relationship Id="rId182" Type="http://schemas.openxmlformats.org/officeDocument/2006/relationships/hyperlink" Target="https://www.gov.uk/government/uploads/system/uploads/attachment_data/file/437246/households-below-average-income-1994-95-to-2013-14.pdf" TargetMode="External"/><Relationship Id="rId40" Type="http://schemas.openxmlformats.org/officeDocument/2006/relationships/hyperlink" Target="http://www.channel4.com/info/press/news/the-great-benefits-row-channel-4-dispatches" TargetMode="External"/><Relationship Id="rId41" Type="http://schemas.openxmlformats.org/officeDocument/2006/relationships/hyperlink" Target="https://www.gov.uk/government/uploads/system/uploads/attachment_data/file/426612/pip-ad-hoc-statistics-to-Mar-2015.pdf" TargetMode="External"/><Relationship Id="rId42" Type="http://schemas.openxmlformats.org/officeDocument/2006/relationships/hyperlink" Target="https://www.judiciary.gov.uk/wp-content/uploads/2015/06/r-v-sswp.pdf" TargetMode="External"/><Relationship Id="rId43" Type="http://schemas.openxmlformats.org/officeDocument/2006/relationships/hyperlink" Target="https://www.gov.uk/government/uploads/system/uploads/attachment_data/file/506734/pip-statistics-to-jan-2016.pdf" TargetMode="External"/><Relationship Id="rId44" Type="http://schemas.openxmlformats.org/officeDocument/2006/relationships/hyperlink" Target="http://www.publications.parliament.uk/pa/cm201516/cmselect/cmpubacc/727/727.pdf" TargetMode="External"/><Relationship Id="rId45" Type="http://schemas.openxmlformats.org/officeDocument/2006/relationships/hyperlink" Target="http://www.bbc.co.uk/news/uk-politics-35848891" TargetMode="External"/><Relationship Id="rId46" Type="http://schemas.openxmlformats.org/officeDocument/2006/relationships/hyperlink" Target="https://www.gov.uk/government/uploads/system/uploads/attachment_data/file/516954/secretary-of-state-for-work-and-pensions-statement-on-not-going-ahead-with-changes-to-pip-21-march-2016.pdf" TargetMode="External"/><Relationship Id="rId47" Type="http://schemas.openxmlformats.org/officeDocument/2006/relationships/hyperlink" Target="https://www.nao.org.uk/wp-content/uploads/2016/01/Contracted-out-health-and-disability-assessments.pdf" TargetMode="External"/><Relationship Id="rId48" Type="http://schemas.openxmlformats.org/officeDocument/2006/relationships/hyperlink" Target="http://news.scotland.gov.uk/News/Call-to-halt-benefits-proposals-2201.aspx" TargetMode="External"/><Relationship Id="rId49" Type="http://schemas.openxmlformats.org/officeDocument/2006/relationships/hyperlink" Target="http://news.scotland.gov.uk/News/Help-to-access-disability-benefits-1dcc.aspx" TargetMode="External"/><Relationship Id="rId183" Type="http://schemas.openxmlformats.org/officeDocument/2006/relationships/hyperlink" Target="https://www.gov.uk/government/uploads/system/uploads/attachment_data/file/437246/households-below-average-income-1994-95-to-2013-14.pdf" TargetMode="External"/><Relationship Id="rId184" Type="http://schemas.openxmlformats.org/officeDocument/2006/relationships/hyperlink" Target="https://disabilitybenefitsconsortium.files.wordpress.com/2013/11/click-here.pdf" TargetMode="External"/><Relationship Id="rId185" Type="http://schemas.openxmlformats.org/officeDocument/2006/relationships/hyperlink" Target="https://www.nao.org.uk/wp-content/uploads/2016/01/Contracted-out-health-and-disability-assessments.pdf" TargetMode="External"/><Relationship Id="rId186" Type="http://schemas.openxmlformats.org/officeDocument/2006/relationships/hyperlink" Target="http://appsso.eurostat.ec.europa.eu/nui/submitViewTableAction.do" TargetMode="External"/><Relationship Id="rId187" Type="http://schemas.openxmlformats.org/officeDocument/2006/relationships/hyperlink" Target="http://researchbriefings.parliament.uk/ResearchBriefing/Summary/SN06805" TargetMode="External"/><Relationship Id="rId188" Type="http://schemas.openxmlformats.org/officeDocument/2006/relationships/hyperlink" Target="http://www.childrenssociety.org.uk/sites/default/files/tcs/a_briefing_from_the_childrens_society_on_asylum_support.pdf" TargetMode="External"/><Relationship Id="rId189" Type="http://schemas.openxmlformats.org/officeDocument/2006/relationships/hyperlink" Target="https://www.abdn.ac.uk/heru/documents/reports_etc/Nature_and_extent_of_food_poverty_report_May_2015.pdf" TargetMode="External"/><Relationship Id="rId80" Type="http://schemas.openxmlformats.org/officeDocument/2006/relationships/hyperlink" Target="http://www.theguardian.com/society/2015/mar/18/long-term-food-bank-users-nutritional-problems-balanced-diet" TargetMode="External"/><Relationship Id="rId81" Type="http://schemas.openxmlformats.org/officeDocument/2006/relationships/hyperlink" Target="https://www.gov.uk/government/uploads/system/uploads/attachment_data/file/512112/foodpocketbook-2015report-31mar16.pdf" TargetMode="External"/><Relationship Id="rId82" Type="http://schemas.openxmlformats.org/officeDocument/2006/relationships/hyperlink" Target="https://www.gov.uk/government/uploads/system/uploads/attachment_data/file/265243/familyfood-2012report-12dec13.pdf" TargetMode="External"/><Relationship Id="rId83" Type="http://schemas.openxmlformats.org/officeDocument/2006/relationships/hyperlink" Target="https://www.gov.uk/government/uploads/system/uploads/attachment_data/file/470179/Sugar_reduction_The_evidence_for_action.pdf" TargetMode="External"/><Relationship Id="rId84" Type="http://schemas.openxmlformats.org/officeDocument/2006/relationships/hyperlink" Target="http://bmaopac.hosted.exlibrisgroup.com/exlibris/aleph/a21_1/apache_media/7CY7PA145G9D95CXKXVPKPYBP7JS6I.pdf" TargetMode="External"/><Relationship Id="rId85" Type="http://schemas.openxmlformats.org/officeDocument/2006/relationships/hyperlink" Target="http://cdn.budgetresponsibility.org.uk/March2016EFO.pdf" TargetMode="External"/><Relationship Id="rId86" Type="http://schemas.openxmlformats.org/officeDocument/2006/relationships/hyperlink" Target="http://stakeholders.ofcom.org.uk/binaries/research/tv-research/appendix4.pdf" TargetMode="External"/><Relationship Id="rId87" Type="http://schemas.openxmlformats.org/officeDocument/2006/relationships/hyperlink" Target="https://www.cap.org.uk/Advertising-Codes/Broadcast.aspx" TargetMode="External"/><Relationship Id="rId88" Type="http://schemas.openxmlformats.org/officeDocument/2006/relationships/hyperlink" Target="http://stakeholders.ofcom.org.uk/binaries/research/tv-research/hfss-review-final.pdf" TargetMode="External"/><Relationship Id="rId89" Type="http://schemas.openxmlformats.org/officeDocument/2006/relationships/hyperlink" Target="https://www.cap.org.uk/Advertising-Codes/Non-Broadcast.aspx" TargetMode="External"/><Relationship Id="rId110" Type="http://schemas.openxmlformats.org/officeDocument/2006/relationships/hyperlink" Target="http://www.cpag.org.uk/scotland/school-meals" TargetMode="External"/><Relationship Id="rId111" Type="http://schemas.openxmlformats.org/officeDocument/2006/relationships/hyperlink" Target="http://www.ncbi.nlm.nih.gov/pubmed/20089755" TargetMode="External"/><Relationship Id="rId112" Type="http://schemas.openxmlformats.org/officeDocument/2006/relationships/hyperlink" Target="http://journals.cambridge.org/download.php?file=%2FPNS%2FPNS69_04%2FS0029665110001746a.pdf&amp;code=8758e7ae865eaf6108c095f29250a990" TargetMode="External"/><Relationship Id="rId113" Type="http://schemas.openxmlformats.org/officeDocument/2006/relationships/hyperlink" Target="http://www.bapen.org.uk/pdfs/nsw/bapen-nsw-scotland.pdf" TargetMode="External"/><Relationship Id="rId114" Type="http://schemas.openxmlformats.org/officeDocument/2006/relationships/hyperlink" Target="http://www.sustainweb.org/news/sep15_ditch_hospital_junk_food/" TargetMode="External"/><Relationship Id="rId115" Type="http://schemas.openxmlformats.org/officeDocument/2006/relationships/hyperlink" Target="http://www.bapen.org.uk/pdfs/nsw/bapen-nsw-uk.pdf" TargetMode="External"/><Relationship Id="rId116" Type="http://schemas.openxmlformats.org/officeDocument/2006/relationships/hyperlink" Target="http://www.cqc.org.uk/sites/default/files/documents/time_to_listen_-_care_homes_main_report_tag.pdf" TargetMode="External"/><Relationship Id="rId117" Type="http://schemas.openxmlformats.org/officeDocument/2006/relationships/hyperlink" Target="http://www.foodstandards.gov.scot/food-crime-annual-strategic-assessment" TargetMode="External"/><Relationship Id="rId118" Type="http://schemas.openxmlformats.org/officeDocument/2006/relationships/hyperlink" Target="https://www.gov.uk/government/uploads/system/uploads/attachment_data/file/350726/elliot-review-final-report-july2014.pdf" TargetMode="External"/><Relationship Id="rId119" Type="http://schemas.openxmlformats.org/officeDocument/2006/relationships/hyperlink" Target="http://www.foodstandards.gov.scot/food-crime-annual-strategic-assessment" TargetMode="External"/><Relationship Id="rId150" Type="http://schemas.openxmlformats.org/officeDocument/2006/relationships/hyperlink" Target="http://www.nourishscotland.org/wp-content/uploads/2013/10/FOSA-response-final-.pdf" TargetMode="External"/><Relationship Id="rId151" Type="http://schemas.openxmlformats.org/officeDocument/2006/relationships/hyperlink" Target="http://www.gov.scot/Resource/0047/00478796.pdf" TargetMode="External"/><Relationship Id="rId152" Type="http://schemas.openxmlformats.org/officeDocument/2006/relationships/hyperlink" Target="http://www.legislation.gov.uk/ssi/2015/347/pdfs/ssi_20150347_en.pdf" TargetMode="External"/><Relationship Id="rId10" Type="http://schemas.openxmlformats.org/officeDocument/2006/relationships/hyperlink" Target="https://www.jrf.org.uk/report/minimum-income-standard-uk-2015" TargetMode="External"/><Relationship Id="rId11" Type="http://schemas.openxmlformats.org/officeDocument/2006/relationships/hyperlink" Target="https://www.gov.uk/government/uploads/system/uploads/attachment_data/file/437246/households-below-average-income-1994-95-to-2013-14.pdf" TargetMode="External"/><Relationship Id="rId12" Type="http://schemas.openxmlformats.org/officeDocument/2006/relationships/hyperlink" Target="http://www.gov.scot/Resource/0048/00480301.pdf" TargetMode="External"/><Relationship Id="rId13" Type="http://schemas.openxmlformats.org/officeDocument/2006/relationships/hyperlink" Target="https://www.tuc.org.uk/economic-issues/touchstone-pamphlets/equitable-full-employment-jobs-recovery-all-touchstone-extras" TargetMode="External"/><Relationship Id="rId14" Type="http://schemas.openxmlformats.org/officeDocument/2006/relationships/hyperlink" Target="http://www.livingwage.org.uk/what-living-wage" TargetMode="External"/><Relationship Id="rId15" Type="http://schemas.openxmlformats.org/officeDocument/2006/relationships/hyperlink" Target="http://www.ifs.org.uk/bns/bn143.pdf" TargetMode="External"/><Relationship Id="rId16" Type="http://schemas.openxmlformats.org/officeDocument/2006/relationships/hyperlink" Target="http://webarchive.nationalarchives.gov.uk/20160105160709/http:/www.ons.gov.uk/ons/dcp171766_419154.pdf" TargetMode="External"/><Relationship Id="rId17" Type="http://schemas.openxmlformats.org/officeDocument/2006/relationships/hyperlink" Target="http://www.ons.gov.uk/employmentandlabourmarket/peopleinwork/employmentandemployeetypes/bulletins/uklabourmarket/2015-10-14" TargetMode="External"/><Relationship Id="rId18" Type="http://schemas.openxmlformats.org/officeDocument/2006/relationships/hyperlink" Target="http://www.ons.gov.uk/employmentandlabourmarket/peopleinwork/earningsandworkinghours/articles/contractswithnoguaranteedhours/2015-09-02" TargetMode="External"/><Relationship Id="rId19" Type="http://schemas.openxmlformats.org/officeDocument/2006/relationships/hyperlink" Target="http://uwsoxfampartnership.org.uk/wp-content/uploads/2016/03/Decent-Work-Report-Final.pdf" TargetMode="External"/><Relationship Id="rId153" Type="http://schemas.openxmlformats.org/officeDocument/2006/relationships/hyperlink" Target="https://www.gov.uk/government/uploads/system/uploads/attachment_data/file/444287/organics-statsnotice-23jun15b.pdf" TargetMode="External"/><Relationship Id="rId154" Type="http://schemas.openxmlformats.org/officeDocument/2006/relationships/hyperlink" Target="http://www.jrf.org.uk/sites/default/files/jrf/migrated/files/Households-below-MIS-Full.pdf" TargetMode="External"/><Relationship Id="rId155" Type="http://schemas.openxmlformats.org/officeDocument/2006/relationships/hyperlink" Target="http://www.gov.scot/Resource/0047/00473036.pdf" TargetMode="External"/><Relationship Id="rId156" Type="http://schemas.openxmlformats.org/officeDocument/2006/relationships/hyperlink" Target="https://www.jrf.org.uk/report/destitution-uk" TargetMode="External"/><Relationship Id="rId157" Type="http://schemas.openxmlformats.org/officeDocument/2006/relationships/hyperlink" Target="https://www.jrf.org.uk/report/destitution-uk" TargetMode="External"/><Relationship Id="rId158" Type="http://schemas.openxmlformats.org/officeDocument/2006/relationships/hyperlink" Target="http://news.scotland.gov.uk/Speeches-Briefings/SNAP-Human-Rights-Innovation-Forum-2040.aspx" TargetMode="External"/><Relationship Id="rId159" Type="http://schemas.openxmlformats.org/officeDocument/2006/relationships/hyperlink" Target="http://www.gov.scot/About/Performance/scotPerforms/indicator/" TargetMode="External"/><Relationship Id="rId190" Type="http://schemas.openxmlformats.org/officeDocument/2006/relationships/hyperlink" Target="http://onlinelibrary.wiley.com/doi/10.1111/ecoj.12181/abstract" TargetMode="External"/><Relationship Id="rId191" Type="http://schemas.openxmlformats.org/officeDocument/2006/relationships/hyperlink" Target="https://www.jrf.org.uk/report/destitution-uk" TargetMode="External"/><Relationship Id="rId50" Type="http://schemas.openxmlformats.org/officeDocument/2006/relationships/hyperlink" Target="http://www.almos.org.uk/news_docs.php?subtypeid=24" TargetMode="External"/><Relationship Id="rId51" Type="http://schemas.openxmlformats.org/officeDocument/2006/relationships/hyperlink" Target="https://www.citizensadvice.org.uk/global/migrated_documents/corporate/citizens-advice-universal-credit-mmp-final-results---full-report.pdf" TargetMode="External"/><Relationship Id="rId52" Type="http://schemas.openxmlformats.org/officeDocument/2006/relationships/hyperlink" Target="http://www.almos.org.uk/news_docs.php?subtypeid=24" TargetMode="External"/><Relationship Id="rId53" Type="http://schemas.openxmlformats.org/officeDocument/2006/relationships/hyperlink" Target="http://www.mdx.ac.uk/__data/assets/pdf_file/0031/149827/Welfare-and-benefit-conditionality-report-January-2015.pdf" TargetMode="External"/><Relationship Id="rId54" Type="http://schemas.openxmlformats.org/officeDocument/2006/relationships/hyperlink" Target="file:///C:\Users\Elli\Documents\Nourish\ICESCR\Infrastructure%20and%20Projects%20Authority,%20https:\www.gov.uk\government\publications\major-projects-authority-annual-report-2015" TargetMode="External"/><Relationship Id="rId55" Type="http://schemas.openxmlformats.org/officeDocument/2006/relationships/hyperlink" Target="http://www.legislation.gov.uk/ukpga/2016/11/pdfs/ukpga_20160011_en.pdf" TargetMode="External"/><Relationship Id="rId56" Type="http://schemas.openxmlformats.org/officeDocument/2006/relationships/hyperlink" Target="http://budgetresponsibility.org.uk/docs/dlm_uploads/BriefGuide_EFO_November2015.pdf" TargetMode="External"/><Relationship Id="rId57" Type="http://schemas.openxmlformats.org/officeDocument/2006/relationships/hyperlink" Target="https://www.nao.org.uk/wp-content/uploads/2016/01/Contracted-out-health-and-disability-assessments.pdf" TargetMode="External"/><Relationship Id="rId58" Type="http://schemas.openxmlformats.org/officeDocument/2006/relationships/hyperlink" Target="https://www.gov.uk/government/uploads/system/uploads/attachment_data/file/371459/Statistical_Release.pdf" TargetMode="External"/><Relationship Id="rId59" Type="http://schemas.openxmlformats.org/officeDocument/2006/relationships/hyperlink" Target="https://www.gov.uk/government/uploads/system/uploads/attachment_data/file/470540/HMRC-measuring-tax-gaps-2015-1.pdf" TargetMode="External"/><Relationship Id="rId90" Type="http://schemas.openxmlformats.org/officeDocument/2006/relationships/hyperlink" Target="http://foodfoundation.org.uk/wp-content/uploads/2016/01/The-Food-Foundation-64pp-A4-Landscape-Brochure-AW-V32.pdf" TargetMode="External"/><Relationship Id="rId91" Type="http://schemas.openxmlformats.org/officeDocument/2006/relationships/hyperlink" Target="https://www.gov.uk/government/uploads/system/uploads/attachment_data/file/470179/Sugar_reduction_The_evidence_for_action.pdf" TargetMode="External"/><Relationship Id="rId92" Type="http://schemas.openxmlformats.org/officeDocument/2006/relationships/hyperlink" Target="http://ajcn.nutrition.org/content/early/2015/02/11/ajcn.114.094227.abstract" TargetMode="External"/><Relationship Id="rId93" Type="http://schemas.openxmlformats.org/officeDocument/2006/relationships/hyperlink" Target="http://www.legislation.gov.uk/asp/2010/18/contents/enacted" TargetMode="External"/><Relationship Id="rId94" Type="http://schemas.openxmlformats.org/officeDocument/2006/relationships/hyperlink" Target="http://www.healthscotland.com/documents/21101.aspx" TargetMode="External"/><Relationship Id="rId95" Type="http://schemas.openxmlformats.org/officeDocument/2006/relationships/hyperlink" Target="http://www.publications.parliament.uk/pa/cm201516/cmselect/cmhealth/465/465.pdf" TargetMode="External"/><Relationship Id="rId96" Type="http://schemas.openxmlformats.org/officeDocument/2006/relationships/hyperlink" Target="https://www.bhf.org.uk/publications/policy-documents/portion-distortion-report-2013" TargetMode="External"/><Relationship Id="rId97" Type="http://schemas.openxmlformats.org/officeDocument/2006/relationships/hyperlink" Target="http://www.ncbi.nlm.nih.gov/pmc/articles/PMC2898050/" TargetMode="External"/><Relationship Id="rId98" Type="http://schemas.openxmlformats.org/officeDocument/2006/relationships/hyperlink" Target="http://www.gov.scot/Resource/0049/00497086.pdf" TargetMode="External"/><Relationship Id="rId99" Type="http://schemas.openxmlformats.org/officeDocument/2006/relationships/hyperlink" Target="http://www.tcpa.org.uk/data/files/Planning_out_Poverty.pdf" TargetMode="External"/><Relationship Id="rId120" Type="http://schemas.openxmlformats.org/officeDocument/2006/relationships/hyperlink" Target="http://www.pan-uk.org/files/pesticides_on_a_plate_2013_final.pdf" TargetMode="External"/><Relationship Id="rId121" Type="http://schemas.openxmlformats.org/officeDocument/2006/relationships/hyperlink" Target="http://www.sciencedirect.com/science/article/pii/S0160412009001457" TargetMode="External"/><Relationship Id="rId122" Type="http://schemas.openxmlformats.org/officeDocument/2006/relationships/hyperlink" Target="http://eur-lex.europa.eu/LexUriServ/LexUriServ.do?uri=OJ:L:2009:309:FULL:EN:PDF" TargetMode="External"/><Relationship Id="rId123" Type="http://schemas.openxmlformats.org/officeDocument/2006/relationships/hyperlink" Target="http://ec.europa.eu/food/plant/pesticides/sustainable_use_pesticides/docs/nap_uk_en.pdf" TargetMode="External"/><Relationship Id="rId124" Type="http://schemas.openxmlformats.org/officeDocument/2006/relationships/hyperlink" Target="http://www.theguardian.com/environment/2014/jul/17/pesticide-residue-breads-uk-crops" TargetMode="External"/><Relationship Id="rId125" Type="http://schemas.openxmlformats.org/officeDocument/2006/relationships/hyperlink" Target="https://www.gov.uk/government/uploads/system/uploads/attachment_data/file/504582/pesticide-residues-quarter3-2015-report.pdf" TargetMode="External"/><Relationship Id="rId126" Type="http://schemas.openxmlformats.org/officeDocument/2006/relationships/hyperlink" Target="http://webarchive.nationalarchives.gov.uk/20140328084622/http:/cdn.environment-agency.gov.uk/geho0906bldb-e-e.pdf" TargetMode="External"/><Relationship Id="rId127" Type="http://schemas.openxmlformats.org/officeDocument/2006/relationships/hyperlink" Target="https://www.sepa.org.uk/media/37609/scotland_rbmp_chapter1.pdf" TargetMode="External"/><Relationship Id="rId128" Type="http://schemas.openxmlformats.org/officeDocument/2006/relationships/hyperlink" Target="http://www.ciwf.org.uk/media/7247793/antibiotics-alliance-40pp-report-2015.pdf" TargetMode="External"/><Relationship Id="rId129" Type="http://schemas.openxmlformats.org/officeDocument/2006/relationships/hyperlink" Target="http://news.scotland.gov.uk/News/GM-crop-ban-1bd2.aspx" TargetMode="External"/><Relationship Id="rId160" Type="http://schemas.openxmlformats.org/officeDocument/2006/relationships/hyperlink" Target="http://www.ons.gov.uk/peoplepopulationandcommunity/wellbeing/articles/measuringnationalwellbeing/2016" TargetMode="External"/><Relationship Id="rId161" Type="http://schemas.openxmlformats.org/officeDocument/2006/relationships/hyperlink" Target="http://www.resolutionfoundation.org/wp-content/uploads/2016/02/Audit-2016.pdf" TargetMode="External"/><Relationship Id="rId162" Type="http://schemas.openxmlformats.org/officeDocument/2006/relationships/hyperlink" Target="http://www.fao.org/3/a-i4830e.pdf" TargetMode="External"/><Relationship Id="rId20" Type="http://schemas.openxmlformats.org/officeDocument/2006/relationships/hyperlink" Target="https://www.gov.uk/government/uploads/system/uploads/attachment_data/file/371459/Statistical_Release.pdf" TargetMode="External"/><Relationship Id="rId21" Type="http://schemas.openxmlformats.org/officeDocument/2006/relationships/hyperlink" Target="http://www.sociology.ox.ac.uk/materials/papers/sanction120115-2.pdf" TargetMode="External"/><Relationship Id="rId22" Type="http://schemas.openxmlformats.org/officeDocument/2006/relationships/hyperlink" Target="http://news.scotland.gov.uk/News/New-benefits-agency-for-Scotland-2335.aspx" TargetMode="External"/><Relationship Id="rId23" Type="http://schemas.openxmlformats.org/officeDocument/2006/relationships/hyperlink" Target="https://www.gov.uk/government/uploads/system/uploads/attachment_data/file/497541/benefit-cap-statistics-to-nov-2015.pdf" TargetMode="External"/><Relationship Id="rId24" Type="http://schemas.openxmlformats.org/officeDocument/2006/relationships/hyperlink" Target="https://www.citizensadvice.org.uk/Global/CitizensAdvice/welfare%20publications/Benefit%20Cap%20Impact%20Assessment%20(1).pdf" TargetMode="External"/><Relationship Id="rId25" Type="http://schemas.openxmlformats.org/officeDocument/2006/relationships/hyperlink" Target="http://www.theguardian.com/uk-news/2015/aug/28/vast-social-cleansing-pushes-tens-of-thousands-of-families-out-of-london" TargetMode="External"/><Relationship Id="rId26" Type="http://schemas.openxmlformats.org/officeDocument/2006/relationships/hyperlink" Target="https://www.citizensadvice.org.uk/Global/CitizensAdvice/welfare%20publications/Benefit%20Cap%20Impact%20Assessment%20(1).pdf" TargetMode="External"/><Relationship Id="rId27" Type="http://schemas.openxmlformats.org/officeDocument/2006/relationships/hyperlink" Target="http://www.scope.org.uk/Scope/media/Images/Publication%20Directory/Priced-out.pdf?ext=.pdf" TargetMode="External"/><Relationship Id="rId28" Type="http://schemas.openxmlformats.org/officeDocument/2006/relationships/hyperlink" Target="https://www.judiciary.gov.uk/judgments/susan-rutherford-and-others-v-secretary-of-state-for-work-pensions-and-a-v-secretary-of-state-for-work-pensions/" TargetMode="External"/><Relationship Id="rId29" Type="http://schemas.openxmlformats.org/officeDocument/2006/relationships/hyperlink" Target="http://www.scottish.parliament.uk/ResearchBriefingsAndFactsheets/S4/SB_14-67.pdf" TargetMode="External"/><Relationship Id="rId163" Type="http://schemas.openxmlformats.org/officeDocument/2006/relationships/hyperlink" Target="https://feedingbritain.files.wordpress.com/2015/02/food-poverty-feeding-britain-final-2.pdf" TargetMode="External"/><Relationship Id="rId164" Type="http://schemas.openxmlformats.org/officeDocument/2006/relationships/hyperlink" Target="http://www.gov.scot/Resource/0049/00497944.pdf" TargetMode="External"/><Relationship Id="rId165" Type="http://schemas.openxmlformats.org/officeDocument/2006/relationships/hyperlink" Target="http://www.closethegap.org.uk/content/resources/CtG-Working-Paper-16-Statistics.pdf" TargetMode="External"/><Relationship Id="rId166" Type="http://schemas.openxmlformats.org/officeDocument/2006/relationships/hyperlink" Target="http://webarchive.nationalarchives.gov.uk/20160105160709/http:/www.ons.gov.uk/ons/dcp171766_419154.pdf" TargetMode="External"/><Relationship Id="rId167" Type="http://schemas.openxmlformats.org/officeDocument/2006/relationships/hyperlink" Target="http://www.engender.org.uk/content/publications/Engender-shadow-report-ICESCR-UK.pdf" TargetMode="External"/><Relationship Id="rId168" Type="http://schemas.openxmlformats.org/officeDocument/2006/relationships/hyperlink" Target="http://www.fawcettsociety.org.uk/wp-content/uploads/2015/02/Wheres-the-Benefit-An-Independent-Inquiry-into-Women-and-JSA.pdf" TargetMode="External"/><Relationship Id="rId169" Type="http://schemas.openxmlformats.org/officeDocument/2006/relationships/hyperlink" Target="http://www.scottish.parliament.uk/S4_Welfare_Reform_Committee/Reports/wrr-15-03w.pdf" TargetMode="External"/><Relationship Id="rId60" Type="http://schemas.openxmlformats.org/officeDocument/2006/relationships/hyperlink" Target="http://www.fabians.org.uk/all-in-this-together/" TargetMode="External"/><Relationship Id="rId61" Type="http://schemas.openxmlformats.org/officeDocument/2006/relationships/hyperlink" Target="http://www.malnutritiontaskforce.org.uk/more-than-46000-older-people-stripped-of-their-meals-on-wheels-service/" TargetMode="External"/><Relationship Id="rId62" Type="http://schemas.openxmlformats.org/officeDocument/2006/relationships/hyperlink" Target="http://www.equalityhumanrights.com/sites/default/files/publication_pdf/Close%20to%20home.pdf" TargetMode="External"/><Relationship Id="rId63" Type="http://schemas.openxmlformats.org/officeDocument/2006/relationships/hyperlink" Target="http://www.channel4.com/info/press/news/britain-s-pensioner-care-scandal-channel-4-dispatches" TargetMode="External"/><Relationship Id="rId64" Type="http://schemas.openxmlformats.org/officeDocument/2006/relationships/hyperlink" Target="http://www.equalityhumanrights.com/commission-intervenes-new-case-about-government-decision-reduce-support-disabled-people" TargetMode="External"/><Relationship Id="rId65" Type="http://schemas.openxmlformats.org/officeDocument/2006/relationships/hyperlink" Target="http://www.cqc.org.uk/sites/default/files/documents/time_to_listen_-_nhs_hospitals_main_report_tag.pdf" TargetMode="External"/><Relationship Id="rId66" Type="http://schemas.openxmlformats.org/officeDocument/2006/relationships/hyperlink" Target="http://www.bapen.org.uk/pdfs/reports/advisory_group_report.pdf" TargetMode="External"/><Relationship Id="rId67" Type="http://schemas.openxmlformats.org/officeDocument/2006/relationships/hyperlink" Target="http://foodfoundation.org.uk/wp-content/uploads/2016/01/The-Food-Foundation-64pp-A4-Landscape-Brochure-AW-V32.pdf" TargetMode="External"/><Relationship Id="rId68" Type="http://schemas.openxmlformats.org/officeDocument/2006/relationships/hyperlink" Target="https://www.gov.uk/government/uploads/system/uploads/attachment_data/file/512112/foodpocketbook-2015report-31mar16.pdf" TargetMode="External"/><Relationship Id="rId69" Type="http://schemas.openxmlformats.org/officeDocument/2006/relationships/hyperlink" Target="http://www.bapen.org.uk/pdfs/reports/advisory_group_report.pdf" TargetMode="External"/><Relationship Id="rId130" Type="http://schemas.openxmlformats.org/officeDocument/2006/relationships/hyperlink" Target="https://www.trusselltrust.org/2016/04/15/foodbank-use-remains-record-high/" TargetMode="External"/><Relationship Id="rId131" Type="http://schemas.openxmlformats.org/officeDocument/2006/relationships/hyperlink" Target="https://www.jrf.org.uk/report/destitution-uk" TargetMode="External"/><Relationship Id="rId132" Type="http://schemas.openxmlformats.org/officeDocument/2006/relationships/hyperlink" Target="http://www.cpag.org.uk/sites/default/files/Foodbank%20Report_web.pdf" TargetMode="External"/><Relationship Id="rId133" Type="http://schemas.openxmlformats.org/officeDocument/2006/relationships/hyperlink" Target="http://www.legislation.gov.uk/asp/2015/5/pdfs/asp_20150005_en.pdf" TargetMode="External"/><Relationship Id="rId134" Type="http://schemas.openxmlformats.org/officeDocument/2006/relationships/hyperlink" Target="http://www.careinspectorate.com/images/documents/110/Complaints%20about%20care%20services%20in%20Scotland%202008-2013.pdf" TargetMode="External"/><Relationship Id="rId135" Type="http://schemas.openxmlformats.org/officeDocument/2006/relationships/hyperlink" Target="https://www.gov.uk/government/uploads/system/uploads/attachment_data/file/430411/auk-2014-28may15a.pdf" TargetMode="External"/><Relationship Id="rId136" Type="http://schemas.openxmlformats.org/officeDocument/2006/relationships/hyperlink" Target="http://webarchive.nationalarchives.gov.uk/20100407183119/http:/www.defra.gov.uk/evidence/statistics/foodfarm/general/auk/documents/AUK-2005.pdf" TargetMode="External"/><Relationship Id="rId137" Type="http://schemas.openxmlformats.org/officeDocument/2006/relationships/hyperlink" Target="http://ec.europa.eu/eurostat/statistics-explained/index.php/Farm_structure_statistics" TargetMode="External"/><Relationship Id="rId138" Type="http://schemas.openxmlformats.org/officeDocument/2006/relationships/hyperlink" Target="http://www.scottish.parliament.uk/ResearchBriefingsAndFactsheets/S4/SB_14-52.pdf" TargetMode="External"/><Relationship Id="rId139" Type="http://schemas.openxmlformats.org/officeDocument/2006/relationships/hyperlink" Target="http://www.scotlink.org/wp/files/documents/ScotLINK_PressRelease_Environmental_groups_urge_caution_on_new_Marine_Plan_26Mar2015.pdf" TargetMode="External"/><Relationship Id="rId170" Type="http://schemas.openxmlformats.org/officeDocument/2006/relationships/hyperlink" Target="http://www.equalityhumanrights.com/sites/default/files/cumulative_impact_assessment_full_report_30-07-14.pdf" TargetMode="External"/><Relationship Id="rId171" Type="http://schemas.openxmlformats.org/officeDocument/2006/relationships/hyperlink" Target="https://www.gov.uk/government/uploads/system/uploads/attachment_data/file/437246/households-below-average-income-1994-95-to-2013-14.pdf" TargetMode="External"/><Relationship Id="rId172" Type="http://schemas.openxmlformats.org/officeDocument/2006/relationships/hyperlink" Target="http://www.retepariopportunita.it/rete_pari_opportunita/userfiles/news/bme-exec_sum_final.pdf" TargetMode="External"/><Relationship Id="rId30" Type="http://schemas.openxmlformats.org/officeDocument/2006/relationships/hyperlink" Target="http://www.sociology.ox.ac.uk/materials/papers/sanction120115-2.pdf" TargetMode="External"/><Relationship Id="rId31" Type="http://schemas.openxmlformats.org/officeDocument/2006/relationships/hyperlink" Target="http://www.mdx.ac.uk/__data/assets/pdf_file/0031/149827/Welfare-and-benefit-conditionality-report-January-2015.pdf" TargetMode="External"/><Relationship Id="rId32" Type="http://schemas.openxmlformats.org/officeDocument/2006/relationships/hyperlink" Target="https://www.jrf.org.uk/report/minimum-income-standard-uk-2015" TargetMode="External"/><Relationship Id="rId33" Type="http://schemas.openxmlformats.org/officeDocument/2006/relationships/hyperlink" Target="https://www.gov.uk/government/uploads/system/uploads/attachment_data/file/335149/jsa-sanctions-independent-review.rtf" TargetMode="External"/><Relationship Id="rId34" Type="http://schemas.openxmlformats.org/officeDocument/2006/relationships/hyperlink" Target="https://www.google.co.uk/url?sa=t&amp;rct=j&amp;q=&amp;esrc=s&amp;source=web&amp;cd=2&amp;cad=rja&amp;uact=8&amp;ved=0ahUKEwjr0PO6xZXMAhVB7hoKHW8MApYQFggiMAE&amp;url=http%3A%2F%2Fwww.cpag.org.uk%2Fsites%2Fdefault%2Ffiles%2Fuploads%2F16-02%2520Sanctions%2520Stats%2520Briefing%2520-%2520D%2520Webster%2520Feb%25202016.docx&amp;usg=AFQjCNGfvCwvgdtvCweNXX-gqvfJ6PD1Hg&amp;sig2=wm6DfBki7OT0ygNkCrfHYg&amp;bvm=bv.119745492,d.d2s" TargetMode="External"/><Relationship Id="rId35" Type="http://schemas.openxmlformats.org/officeDocument/2006/relationships/hyperlink" Target="https://www.citizensadvice.org.uk/Global/Migrated_Documents/corporate/wca-5th-review-citizens-advice-response.pdf" TargetMode="External"/><Relationship Id="rId36" Type="http://schemas.openxmlformats.org/officeDocument/2006/relationships/hyperlink" Target="https://www.gov.uk/government/uploads/system/uploads/attachment_data/file/180964/pip-reassessments-and-impacts.pdf" TargetMode="External"/><Relationship Id="rId37" Type="http://schemas.openxmlformats.org/officeDocument/2006/relationships/hyperlink" Target="http://www.tandfonline.com/doi/abs/10.1080/09687599.2015.1021759" TargetMode="External"/><Relationship Id="rId38" Type="http://schemas.openxmlformats.org/officeDocument/2006/relationships/hyperlink" Target="https://www.nao.org.uk/wp-content/uploads/2016/01/Contracted-out-health-and-disability-assessments.pdf" TargetMode="External"/><Relationship Id="rId39" Type="http://schemas.openxmlformats.org/officeDocument/2006/relationships/hyperlink" Target="https://www.gov.uk/government/uploads/system/uploads/attachment_data/file/387981/pip-assessment-first-independent-review.pdf" TargetMode="External"/><Relationship Id="rId173" Type="http://schemas.openxmlformats.org/officeDocument/2006/relationships/hyperlink" Target="https://www.gov.uk/government/uploads/system/uploads/attachment_data/file/437246/households-below-average-income-1994-95-to-2013-14.pdf" TargetMode="External"/><Relationship Id="rId174" Type="http://schemas.openxmlformats.org/officeDocument/2006/relationships/hyperlink" Target="https://www.gov.uk/government/uploads/system/uploads/attachment_data/file/497541/benefit-cap-statistics-to-nov-2015.pdf" TargetMode="External"/><Relationship Id="rId175" Type="http://schemas.openxmlformats.org/officeDocument/2006/relationships/hyperlink" Target="http://www.shu.ac.uk/research/cresr/sites/shu.ac.uk/files/cumulative-impact-welfare-reform-households-scotland.pdf" TargetMode="External"/><Relationship Id="rId176" Type="http://schemas.openxmlformats.org/officeDocument/2006/relationships/hyperlink" Target="http://www.jrf.org.uk/sites/default/files/jrf/migrated/files/Households-below-MIS-Full.pdf" TargetMode="External"/><Relationship Id="rId177" Type="http://schemas.openxmlformats.org/officeDocument/2006/relationships/hyperlink" Target="http://www.ifs.org.uk/publications/7880" TargetMode="External"/><Relationship Id="rId178" Type="http://schemas.openxmlformats.org/officeDocument/2006/relationships/hyperlink" Target="https://www.gov.uk/government/uploads/system/uploads/attachment_data/file/367461/State_of_the_Nation_-_summary_document.pdf" TargetMode="External"/><Relationship Id="rId179" Type="http://schemas.openxmlformats.org/officeDocument/2006/relationships/hyperlink" Target="https://www.unicef-irc.org/publications/pdf/Food%20security.pdf" TargetMode="External"/><Relationship Id="rId70" Type="http://schemas.openxmlformats.org/officeDocument/2006/relationships/hyperlink" Target="https://www.gov.uk/government/uploads/system/uploads/attachment_data/file/265243/familyfood-2012report-12dec13.pdf" TargetMode="External"/><Relationship Id="rId71" Type="http://schemas.openxmlformats.org/officeDocument/2006/relationships/hyperlink" Target="http://www.foodstandards.gov.scot/monitoring-progress-towards-scottish-dietary-goals-2001-2012-report-1" TargetMode="External"/><Relationship Id="rId72" Type="http://schemas.openxmlformats.org/officeDocument/2006/relationships/hyperlink" Target="http://www.foodstandards.gov.scot/sites/default/files/Situation%20Report%20-%20COMPLETE%20AND%20FINAL.pdf" TargetMode="External"/><Relationship Id="rId73" Type="http://schemas.openxmlformats.org/officeDocument/2006/relationships/hyperlink" Target="http://www.fph.org.uk/uploads/bs_food_poverty.pdf" TargetMode="External"/><Relationship Id="rId74" Type="http://schemas.openxmlformats.org/officeDocument/2006/relationships/hyperlink" Target="http://journals.plos.org/plosone/article?id=10.1371/journal.pone.0109343" TargetMode="External"/><Relationship Id="rId75" Type="http://schemas.openxmlformats.org/officeDocument/2006/relationships/hyperlink" Target="https://www.gov.uk/government/uploads/system/uploads/attachment_data/file/512112/foodpocketbook-2015report-31mar16.pdf" TargetMode="External"/><Relationship Id="rId76" Type="http://schemas.openxmlformats.org/officeDocument/2006/relationships/hyperlink" Target="https://www.gov.uk/government/uploads/system/uploads/attachment_data/file/470179/Sugar_reduction_The_evidence_for_action.pdf" TargetMode="External"/><Relationship Id="rId77" Type="http://schemas.openxmlformats.org/officeDocument/2006/relationships/hyperlink" Target="http://www.gov.scot/Resource/0049/00492520.pdf" TargetMode="External"/><Relationship Id="rId78" Type="http://schemas.openxmlformats.org/officeDocument/2006/relationships/hyperlink" Target="https://www.abdn.ac.uk/heru/documents/reports_etc/Nature_and_extent_of_food_poverty_report_May_2015.pdf" TargetMode="External"/><Relationship Id="rId79" Type="http://schemas.openxmlformats.org/officeDocument/2006/relationships/hyperlink" Target="http://www.fabians.org.uk/wp-content/uploads/2015/10/Hungry-for-Change-web-27.10.pdf" TargetMode="External"/><Relationship Id="rId1" Type="http://schemas.openxmlformats.org/officeDocument/2006/relationships/hyperlink" Target="https://www.supremecourt.uk/decided-cases/docs/UKSC_2014_0079_Judgment.pdf" TargetMode="External"/><Relationship Id="rId2" Type="http://schemas.openxmlformats.org/officeDocument/2006/relationships/hyperlink" Target="http://www.ifs.org.uk/publications/8210" TargetMode="External"/><Relationship Id="rId3" Type="http://schemas.openxmlformats.org/officeDocument/2006/relationships/hyperlink" Target="http://www.ifs.org.uk/publications/8210" TargetMode="External"/><Relationship Id="rId4" Type="http://schemas.openxmlformats.org/officeDocument/2006/relationships/hyperlink" Target="https://www.jrf.org.uk/report/minimum-income-standard-uk-2015" TargetMode="External"/><Relationship Id="rId100" Type="http://schemas.openxmlformats.org/officeDocument/2006/relationships/hyperlink" Target="http://www.gov.scot/About/Performance/scotPerforms/outcomes" TargetMode="External"/><Relationship Id="rId101" Type="http://schemas.openxmlformats.org/officeDocument/2006/relationships/hyperlink" Target="http://www.gov.scot/About/Performance/scotPerforms/outcomes" TargetMode="External"/><Relationship Id="rId102" Type="http://schemas.openxmlformats.org/officeDocument/2006/relationships/hyperlink" Target="http://www.gov.scot/Publications/2014/06/1195/downloads" TargetMode="External"/><Relationship Id="rId103" Type="http://schemas.openxmlformats.org/officeDocument/2006/relationships/hyperlink" Target="http://www.gov.scot/Resource/0044/00448818.pdf" TargetMode="External"/><Relationship Id="rId104" Type="http://schemas.openxmlformats.org/officeDocument/2006/relationships/hyperlink" Target="http://www.legislation.gov.uk/asp/2015/6/pdfs/asp_20150006_en.pdf" TargetMode="External"/><Relationship Id="rId105" Type="http://schemas.openxmlformats.org/officeDocument/2006/relationships/hyperlink" Target="http://www.scotcourts.gov.uk/search-judgments/judgment?id=9e5001a7-8980-69d2-b500-ff0000d74aa7&amp;utm_source=Scottish+Legal+News&amp;utm_campaign=ee69840f27-SLN_21_01_16&amp;utm_medium=email&amp;utm_term=0_07336e1dbf-ee69840f27-66775553" TargetMode="External"/><Relationship Id="rId106" Type="http://schemas.openxmlformats.org/officeDocument/2006/relationships/hyperlink" Target="http://www.gov.scot/Publications/2003/02/16273/17567" TargetMode="External"/><Relationship Id="rId107" Type="http://schemas.openxmlformats.org/officeDocument/2006/relationships/hyperlink" Target="http://www.legislation.gov.uk/asp/2007/15/contents" TargetMode="External"/><Relationship Id="rId108" Type="http://schemas.openxmlformats.org/officeDocument/2006/relationships/hyperlink" Target="http://www.gov.scot/Topics/Education/Schools/HLivi/foodnutrition" TargetMode="External"/><Relationship Id="rId109" Type="http://schemas.openxmlformats.org/officeDocument/2006/relationships/hyperlink" Target="http://www.gov.scot/Resource/0044/00445740.pdf" TargetMode="External"/><Relationship Id="rId5" Type="http://schemas.openxmlformats.org/officeDocument/2006/relationships/hyperlink" Target="https://www.gov.uk/government/uploads/system/uploads/attachment_data/file/512112/foodpocketbook-2015report-31mar16.pdf" TargetMode="External"/><Relationship Id="rId6" Type="http://schemas.openxmlformats.org/officeDocument/2006/relationships/hyperlink" Target="http://www.church-poverty.org.uk/news/pressroom/resources/reports/foodfuelfinance/at_download/file" TargetMode="External"/><Relationship Id="rId7" Type="http://schemas.openxmlformats.org/officeDocument/2006/relationships/hyperlink" Target="https://www.abdn.ac.uk/heru/documents/reports_etc/Nature_and_extent_of_food_poverty_report_May_2015.pdf" TargetMode="External"/><Relationship Id="rId8" Type="http://schemas.openxmlformats.org/officeDocument/2006/relationships/hyperlink" Target="https://www.trusselltrust.org/2016/04/15/foodbank-use-remains-record-high/" TargetMode="External"/><Relationship Id="rId9" Type="http://schemas.openxmlformats.org/officeDocument/2006/relationships/hyperlink" Target="https://www.gov.uk/government/uploads/system/uploads/attachment_data/file/437246/households-below-average-income-1994-95-to-2013-14.pdf" TargetMode="External"/><Relationship Id="rId140" Type="http://schemas.openxmlformats.org/officeDocument/2006/relationships/hyperlink" Target="http://www.foodcoalition.scot/uploads/6/2/6/8/62689573/plenty_complete.pdf" TargetMode="External"/><Relationship Id="rId141" Type="http://schemas.openxmlformats.org/officeDocument/2006/relationships/hyperlink" Target="http://www.gov.scot/Resource/0049/004978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8F25-1834-8342-B443-BA35F3E4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11230</Words>
  <Characters>64012</Characters>
  <Application>Microsoft Macintosh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Kontorravdis</dc:creator>
  <cp:keywords/>
  <dc:description/>
  <cp:lastModifiedBy>Guest User</cp:lastModifiedBy>
  <cp:revision>3</cp:revision>
  <cp:lastPrinted>2016-05-09T15:06:00Z</cp:lastPrinted>
  <dcterms:created xsi:type="dcterms:W3CDTF">2016-05-09T15:06:00Z</dcterms:created>
  <dcterms:modified xsi:type="dcterms:W3CDTF">2016-05-09T15:08:00Z</dcterms:modified>
</cp:coreProperties>
</file>